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גלעד הס</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864506" w:rsidRDefault="003210CB" w:rsidP="003210CB">
                <w:pPr>
                  <w:rPr>
                    <w:rFonts w:ascii="Arial (W1)" w:hAnsi="Arial (W1)"/>
                    <w:b/>
                    <w:bCs/>
                    <w:noProof w:val="0"/>
                    <w:sz w:val="26"/>
                    <w:szCs w:val="26"/>
                  </w:rPr>
                </w:pPr>
                <w:r>
                  <w:rPr>
                    <w:rFonts w:hint="cs"/>
                    <w:b/>
                    <w:bCs/>
                    <w:noProof w:val="0"/>
                    <w:sz w:val="26"/>
                    <w:szCs w:val="26"/>
                    <w:rtl/>
                  </w:rPr>
                  <w:t>ה</w:t>
                </w:r>
                <w:r w:rsidR="00434046">
                  <w:rPr>
                    <w:rFonts w:hint="cs"/>
                    <w:b/>
                    <w:bCs/>
                    <w:noProof w:val="0"/>
                    <w:sz w:val="26"/>
                    <w:szCs w:val="26"/>
                    <w:rtl/>
                  </w:rPr>
                  <w:t>מערער</w:t>
                </w:r>
              </w:p>
            </w:sdtContent>
          </w:sdt>
        </w:tc>
        <w:tc>
          <w:tcPr>
            <w:tcW w:w="5571" w:type="dxa"/>
          </w:tcPr>
          <w:p w:rsidR="006816EC" w:rsidRPr="00CD0055" w:rsidRDefault="006816EC">
            <w:pPr>
              <w:rPr>
                <w:rFonts w:ascii="Arial (W1)" w:hAnsi="Arial (W1)"/>
                <w:b/>
                <w:bCs/>
                <w:noProof w:val="0"/>
                <w:sz w:val="26"/>
                <w:szCs w:val="26"/>
                <w:rtl/>
              </w:rPr>
            </w:pPr>
          </w:p>
          <w:p w:rsidR="006816EC" w:rsidRPr="00665ADE" w:rsidRDefault="00FC30A6" w:rsidP="006B20B7">
            <w:pPr>
              <w:rPr>
                <w:sz w:val="26"/>
                <w:szCs w:val="26"/>
              </w:rPr>
            </w:pPr>
            <w:sdt>
              <w:sdtPr>
                <w:rPr>
                  <w:rFonts w:hint="cs"/>
                  <w:sz w:val="26"/>
                  <w:szCs w:val="26"/>
                  <w:rtl/>
                </w:rPr>
                <w:alias w:val="1478"/>
                <w:tag w:val="1478"/>
                <w:id w:val="160126198"/>
                <w:text w:multiLine="1"/>
              </w:sdtPr>
              <w:sdtEndPr/>
              <w:sdtContent>
                <w:r w:rsidR="006B20B7">
                  <w:rPr>
                    <w:rFonts w:hint="cs"/>
                    <w:b/>
                    <w:bCs/>
                    <w:noProof w:val="0"/>
                    <w:sz w:val="26"/>
                    <w:szCs w:val="26"/>
                    <w:rtl/>
                  </w:rPr>
                  <w:t>פלוני</w:t>
                </w:r>
              </w:sdtContent>
            </w:sdt>
          </w:p>
        </w:tc>
      </w:tr>
      <w:tr w:rsidR="006816EC" w:rsidRPr="00CD0055" w:rsidTr="006816EC">
        <w:trPr>
          <w:jc w:val="center"/>
        </w:trPr>
        <w:tc>
          <w:tcPr>
            <w:tcW w:w="8820" w:type="dxa"/>
            <w:gridSpan w:val="3"/>
          </w:tcPr>
          <w:p w:rsidR="006816EC" w:rsidRDefault="006816EC">
            <w:pPr>
              <w:rPr>
                <w:rFonts w:ascii="Arial (W1)" w:hAnsi="Arial (W1)"/>
                <w:b/>
                <w:bCs/>
                <w:noProof w:val="0"/>
                <w:sz w:val="26"/>
                <w:szCs w:val="26"/>
                <w:rtl/>
              </w:rPr>
            </w:pPr>
          </w:p>
          <w:p w:rsidR="00605978" w:rsidRPr="00CD0055" w:rsidRDefault="00605978">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FC30A6" w:rsidP="003210CB">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3210CB" w:rsidRPr="003210CB">
                  <w:rPr>
                    <w:rFonts w:hint="cs"/>
                    <w:b/>
                    <w:bCs/>
                    <w:noProof w:val="0"/>
                    <w:sz w:val="26"/>
                    <w:szCs w:val="26"/>
                    <w:rtl/>
                  </w:rPr>
                  <w:t>ה</w:t>
                </w:r>
                <w:r w:rsidR="00665ADE" w:rsidRPr="003210CB">
                  <w:rPr>
                    <w:rFonts w:hint="cs"/>
                    <w:b/>
                    <w:bCs/>
                    <w:noProof w:val="0"/>
                    <w:sz w:val="26"/>
                    <w:szCs w:val="26"/>
                    <w:rtl/>
                  </w:rPr>
                  <w:t>משיב</w:t>
                </w:r>
                <w:r w:rsidR="003210CB" w:rsidRPr="003210CB">
                  <w:rPr>
                    <w:rFonts w:hint="cs"/>
                    <w:b/>
                    <w:bCs/>
                    <w:sz w:val="26"/>
                    <w:szCs w:val="26"/>
                    <w:rtl/>
                  </w:rPr>
                  <w:t>ה</w:t>
                </w:r>
              </w:sdtContent>
            </w:sdt>
          </w:p>
        </w:tc>
        <w:tc>
          <w:tcPr>
            <w:tcW w:w="5571" w:type="dxa"/>
          </w:tcPr>
          <w:p w:rsidR="006816EC" w:rsidRPr="00CD0055" w:rsidRDefault="006816EC">
            <w:pPr>
              <w:rPr>
                <w:rFonts w:ascii="Arial (W1)" w:hAnsi="Arial (W1)"/>
                <w:b/>
                <w:bCs/>
                <w:noProof w:val="0"/>
                <w:sz w:val="26"/>
                <w:szCs w:val="26"/>
                <w:rtl/>
              </w:rPr>
            </w:pPr>
          </w:p>
          <w:p w:rsidR="006816EC" w:rsidRPr="00665ADE" w:rsidRDefault="00FC30A6" w:rsidP="006B20B7">
            <w:pPr>
              <w:rPr>
                <w:sz w:val="26"/>
                <w:szCs w:val="26"/>
              </w:rPr>
            </w:pPr>
            <w:sdt>
              <w:sdtPr>
                <w:rPr>
                  <w:rFonts w:hint="cs"/>
                  <w:sz w:val="26"/>
                  <w:szCs w:val="26"/>
                  <w:rtl/>
                </w:rPr>
                <w:alias w:val="1486"/>
                <w:tag w:val="1486"/>
                <w:id w:val="1487590763"/>
                <w:text w:multiLine="1"/>
              </w:sdtPr>
              <w:sdtEndPr/>
              <w:sdtContent>
                <w:r w:rsidR="006B20B7">
                  <w:rPr>
                    <w:rFonts w:hint="cs"/>
                    <w:b/>
                    <w:bCs/>
                    <w:noProof w:val="0"/>
                    <w:sz w:val="26"/>
                    <w:szCs w:val="26"/>
                    <w:rtl/>
                  </w:rPr>
                  <w:t>אלמונית</w:t>
                </w:r>
              </w:sdtContent>
            </w:sdt>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3210CB" w:rsidRPr="00B40998" w:rsidRDefault="003210CB" w:rsidP="00B40998">
      <w:pPr>
        <w:spacing w:after="180" w:line="360" w:lineRule="auto"/>
        <w:jc w:val="both"/>
        <w:rPr>
          <w:rFonts w:ascii="David" w:hAnsi="David"/>
          <w:noProof w:val="0"/>
          <w:color w:val="000000"/>
        </w:rPr>
      </w:pPr>
      <w:r w:rsidRPr="00B40998">
        <w:rPr>
          <w:rFonts w:ascii="David" w:hAnsi="David"/>
          <w:noProof w:val="0"/>
          <w:color w:val="000000"/>
          <w:rtl/>
        </w:rPr>
        <w:t>לפני ערעור על החלטת כב' השופטת אורלי מור-אל, ביושבה כרשמת, מיום 18.7.2023, החלטה שניתנה במסגרת עמ"ש 8727-06-23 (להלן: </w:t>
      </w:r>
      <w:r w:rsidRPr="00B40998">
        <w:rPr>
          <w:rFonts w:ascii="David" w:hAnsi="David"/>
          <w:b/>
          <w:bCs/>
          <w:noProof w:val="0"/>
          <w:color w:val="000000"/>
          <w:rtl/>
        </w:rPr>
        <w:t>"ההחלטה"</w:t>
      </w:r>
      <w:r w:rsidRPr="00B40998">
        <w:rPr>
          <w:rFonts w:ascii="David" w:hAnsi="David"/>
          <w:noProof w:val="0"/>
          <w:color w:val="000000"/>
          <w:rtl/>
        </w:rPr>
        <w:t>).</w:t>
      </w:r>
    </w:p>
    <w:p w:rsidR="003210CB" w:rsidRPr="00B40998" w:rsidRDefault="003210CB" w:rsidP="00B40998">
      <w:pPr>
        <w:spacing w:after="180" w:line="360" w:lineRule="auto"/>
        <w:jc w:val="both"/>
        <w:rPr>
          <w:rFonts w:ascii="David" w:hAnsi="David"/>
          <w:noProof w:val="0"/>
          <w:color w:val="000000"/>
          <w:rtl/>
        </w:rPr>
      </w:pPr>
      <w:r w:rsidRPr="00B40998">
        <w:rPr>
          <w:rFonts w:ascii="David" w:hAnsi="David"/>
          <w:b/>
          <w:bCs/>
          <w:noProof w:val="0"/>
          <w:color w:val="000000"/>
          <w:u w:val="single"/>
          <w:rtl/>
        </w:rPr>
        <w:t>רקע</w:t>
      </w:r>
    </w:p>
    <w:p w:rsidR="00890DCF" w:rsidRPr="00B40998" w:rsidRDefault="00890DCF" w:rsidP="006B20B7">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המערער, מר א</w:t>
      </w:r>
      <w:r w:rsidR="006B20B7">
        <w:rPr>
          <w:rFonts w:ascii="David" w:hAnsi="David" w:hint="cs"/>
          <w:noProof w:val="0"/>
          <w:rtl/>
        </w:rPr>
        <w:t>'</w:t>
      </w:r>
      <w:r w:rsidRPr="00B40998">
        <w:rPr>
          <w:rFonts w:ascii="David" w:hAnsi="David"/>
          <w:noProof w:val="0"/>
          <w:rtl/>
        </w:rPr>
        <w:t xml:space="preserve"> (להלן: </w:t>
      </w:r>
      <w:r w:rsidRPr="00B40998">
        <w:rPr>
          <w:rFonts w:ascii="David" w:hAnsi="David"/>
          <w:b/>
          <w:bCs/>
          <w:noProof w:val="0"/>
          <w:rtl/>
        </w:rPr>
        <w:t>"</w:t>
      </w:r>
      <w:r w:rsidR="00B40998">
        <w:rPr>
          <w:rFonts w:ascii="David" w:hAnsi="David" w:hint="cs"/>
          <w:b/>
          <w:bCs/>
          <w:noProof w:val="0"/>
          <w:rtl/>
        </w:rPr>
        <w:t>המערער</w:t>
      </w:r>
      <w:r w:rsidRPr="00B40998">
        <w:rPr>
          <w:rFonts w:ascii="David" w:hAnsi="David"/>
          <w:b/>
          <w:bCs/>
          <w:noProof w:val="0"/>
          <w:rtl/>
        </w:rPr>
        <w:t>"</w:t>
      </w:r>
      <w:r w:rsidRPr="00B40998">
        <w:rPr>
          <w:rFonts w:ascii="David" w:hAnsi="David"/>
          <w:noProof w:val="0"/>
          <w:rtl/>
        </w:rPr>
        <w:t>)</w:t>
      </w:r>
      <w:r w:rsidR="00AF1FC8">
        <w:rPr>
          <w:rFonts w:ascii="David" w:hAnsi="David" w:hint="cs"/>
          <w:noProof w:val="0"/>
          <w:rtl/>
        </w:rPr>
        <w:t>,</w:t>
      </w:r>
      <w:r w:rsidRPr="00B40998">
        <w:rPr>
          <w:rFonts w:ascii="David" w:hAnsi="David"/>
          <w:noProof w:val="0"/>
          <w:rtl/>
        </w:rPr>
        <w:t xml:space="preserve"> והמשיבה, גב' </w:t>
      </w:r>
      <w:r w:rsidR="006B20B7">
        <w:rPr>
          <w:rFonts w:ascii="David" w:hAnsi="David" w:hint="cs"/>
          <w:noProof w:val="0"/>
          <w:rtl/>
        </w:rPr>
        <w:t>ש'</w:t>
      </w:r>
      <w:r w:rsidRPr="00B40998">
        <w:rPr>
          <w:rFonts w:ascii="David" w:hAnsi="David"/>
          <w:noProof w:val="0"/>
          <w:rtl/>
        </w:rPr>
        <w:t xml:space="preserve"> (להלן: </w:t>
      </w:r>
      <w:r w:rsidRPr="00B40998">
        <w:rPr>
          <w:rFonts w:ascii="David" w:hAnsi="David"/>
          <w:b/>
          <w:bCs/>
          <w:noProof w:val="0"/>
          <w:rtl/>
        </w:rPr>
        <w:t>"</w:t>
      </w:r>
      <w:r w:rsidR="00B40998">
        <w:rPr>
          <w:rFonts w:ascii="David" w:hAnsi="David" w:hint="cs"/>
          <w:b/>
          <w:bCs/>
          <w:noProof w:val="0"/>
          <w:rtl/>
        </w:rPr>
        <w:t>המשיבה</w:t>
      </w:r>
      <w:r w:rsidRPr="00B40998">
        <w:rPr>
          <w:rFonts w:ascii="David" w:hAnsi="David"/>
          <w:b/>
          <w:bCs/>
          <w:noProof w:val="0"/>
          <w:rtl/>
        </w:rPr>
        <w:t>")</w:t>
      </w:r>
      <w:r w:rsidR="00AF1FC8">
        <w:rPr>
          <w:rFonts w:ascii="David" w:hAnsi="David" w:hint="cs"/>
          <w:noProof w:val="0"/>
          <w:rtl/>
        </w:rPr>
        <w:t>,</w:t>
      </w:r>
      <w:r w:rsidRPr="00B40998">
        <w:rPr>
          <w:rFonts w:ascii="David" w:hAnsi="David"/>
          <w:noProof w:val="0"/>
          <w:rtl/>
        </w:rPr>
        <w:t xml:space="preserve"> ניהלו הליכי</w:t>
      </w:r>
      <w:r w:rsidR="00AF1FC8">
        <w:rPr>
          <w:rFonts w:ascii="David" w:hAnsi="David" w:hint="cs"/>
          <w:noProof w:val="0"/>
          <w:rtl/>
        </w:rPr>
        <w:t>ם</w:t>
      </w:r>
      <w:r w:rsidRPr="00B40998">
        <w:rPr>
          <w:rFonts w:ascii="David" w:hAnsi="David"/>
          <w:noProof w:val="0"/>
          <w:rtl/>
        </w:rPr>
        <w:t xml:space="preserve"> משפטיים בבית המשפט לענייני משפחה בתלה"מ 17136-12-21 ותלה"מ 51965-02-22.</w:t>
      </w:r>
    </w:p>
    <w:p w:rsidR="00890DCF" w:rsidRPr="00B40998" w:rsidRDefault="00890DCF"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ביום 25.4.</w:t>
      </w:r>
      <w:r w:rsidR="00AF1FC8">
        <w:rPr>
          <w:rFonts w:ascii="David" w:hAnsi="David" w:hint="cs"/>
          <w:noProof w:val="0"/>
          <w:rtl/>
        </w:rPr>
        <w:t>20</w:t>
      </w:r>
      <w:r w:rsidRPr="00B40998">
        <w:rPr>
          <w:rFonts w:ascii="David" w:hAnsi="David"/>
          <w:noProof w:val="0"/>
          <w:rtl/>
        </w:rPr>
        <w:t>23 ניתן פסק הדין של בית המשפט לענייני משפחה (כב' השופטת לורן אקוקה) (להלן</w:t>
      </w:r>
      <w:r w:rsidR="00434046" w:rsidRPr="00B40998">
        <w:rPr>
          <w:rFonts w:ascii="David" w:hAnsi="David"/>
          <w:noProof w:val="0"/>
          <w:rtl/>
        </w:rPr>
        <w:t xml:space="preserve"> ולשם הנוחות</w:t>
      </w:r>
      <w:r w:rsidRPr="00B40998">
        <w:rPr>
          <w:rFonts w:ascii="David" w:hAnsi="David"/>
          <w:noProof w:val="0"/>
          <w:rtl/>
        </w:rPr>
        <w:t xml:space="preserve">: </w:t>
      </w:r>
      <w:r w:rsidRPr="00B40998">
        <w:rPr>
          <w:rFonts w:ascii="David" w:hAnsi="David"/>
          <w:b/>
          <w:bCs/>
          <w:noProof w:val="0"/>
          <w:rtl/>
        </w:rPr>
        <w:t>"פסק הדי</w:t>
      </w:r>
      <w:r w:rsidR="00434046" w:rsidRPr="00B40998">
        <w:rPr>
          <w:rFonts w:ascii="David" w:hAnsi="David"/>
          <w:b/>
          <w:bCs/>
          <w:noProof w:val="0"/>
          <w:rtl/>
        </w:rPr>
        <w:t>ן"</w:t>
      </w:r>
      <w:r w:rsidR="00434046" w:rsidRPr="00B40998">
        <w:rPr>
          <w:rFonts w:ascii="David" w:hAnsi="David"/>
          <w:noProof w:val="0"/>
          <w:rtl/>
        </w:rPr>
        <w:t>)</w:t>
      </w:r>
      <w:r w:rsidRPr="00B40998">
        <w:rPr>
          <w:rFonts w:ascii="David" w:hAnsi="David"/>
          <w:noProof w:val="0"/>
          <w:rtl/>
        </w:rPr>
        <w:t xml:space="preserve">  ועוד באותו היום הומצא פסק הדין לצדדים.</w:t>
      </w:r>
    </w:p>
    <w:p w:rsidR="00694556" w:rsidRPr="00B40998" w:rsidRDefault="00890DCF" w:rsidP="00DF4313">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ביום 5.6.2023 הגיש </w:t>
      </w:r>
      <w:r w:rsidR="00B40998">
        <w:rPr>
          <w:rFonts w:ascii="David" w:hAnsi="David" w:hint="cs"/>
          <w:noProof w:val="0"/>
          <w:rtl/>
        </w:rPr>
        <w:t>המערער</w:t>
      </w:r>
      <w:r w:rsidRPr="00B40998">
        <w:rPr>
          <w:rFonts w:ascii="David" w:hAnsi="David"/>
          <w:noProof w:val="0"/>
          <w:rtl/>
        </w:rPr>
        <w:t xml:space="preserve"> ערעור על פסק </w:t>
      </w:r>
      <w:r w:rsidR="00434046" w:rsidRPr="00B40998">
        <w:rPr>
          <w:rFonts w:ascii="David" w:hAnsi="David"/>
          <w:noProof w:val="0"/>
          <w:rtl/>
        </w:rPr>
        <w:t>ה</w:t>
      </w:r>
      <w:r w:rsidRPr="00B40998">
        <w:rPr>
          <w:rFonts w:ascii="David" w:hAnsi="David"/>
          <w:noProof w:val="0"/>
          <w:rtl/>
        </w:rPr>
        <w:t>דין</w:t>
      </w:r>
      <w:r w:rsidR="00434046" w:rsidRPr="00B40998">
        <w:rPr>
          <w:rFonts w:ascii="David" w:hAnsi="David"/>
          <w:noProof w:val="0"/>
          <w:rtl/>
        </w:rPr>
        <w:t xml:space="preserve"> במסגרת עמ"ש 8727-06-23.</w:t>
      </w:r>
      <w:r w:rsidR="00DF4313">
        <w:rPr>
          <w:rFonts w:ascii="David" w:hAnsi="David" w:hint="cs"/>
          <w:noProof w:val="0"/>
          <w:rtl/>
        </w:rPr>
        <w:t xml:space="preserve"> </w:t>
      </w:r>
      <w:r w:rsidR="00434046" w:rsidRPr="00B40998">
        <w:rPr>
          <w:rFonts w:ascii="David" w:hAnsi="David"/>
          <w:noProof w:val="0"/>
          <w:rtl/>
        </w:rPr>
        <w:t xml:space="preserve">ביום 22.6.2023 הגישה </w:t>
      </w:r>
      <w:r w:rsidR="00B40998">
        <w:rPr>
          <w:rFonts w:ascii="David" w:hAnsi="David"/>
          <w:noProof w:val="0"/>
          <w:rtl/>
        </w:rPr>
        <w:t>המשיבה</w:t>
      </w:r>
      <w:r w:rsidR="00434046" w:rsidRPr="00B40998">
        <w:rPr>
          <w:rFonts w:ascii="David" w:hAnsi="David"/>
          <w:noProof w:val="0"/>
          <w:rtl/>
        </w:rPr>
        <w:t xml:space="preserve"> ערעור על פסק הדין במסגרת תיק עמ"ש 56015-06-23. </w:t>
      </w:r>
    </w:p>
    <w:p w:rsidR="006C5319" w:rsidRPr="00B40998" w:rsidRDefault="006C5319" w:rsidP="00AF1FC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ביום 2.7.2023 הגיש </w:t>
      </w:r>
      <w:r w:rsidR="00B40998">
        <w:rPr>
          <w:rFonts w:ascii="David" w:hAnsi="David"/>
          <w:noProof w:val="0"/>
          <w:rtl/>
        </w:rPr>
        <w:t>המערער</w:t>
      </w:r>
      <w:r w:rsidRPr="00B40998">
        <w:rPr>
          <w:rFonts w:ascii="David" w:hAnsi="David"/>
          <w:noProof w:val="0"/>
          <w:rtl/>
        </w:rPr>
        <w:t xml:space="preserve"> בקשה למחוק את ערעור </w:t>
      </w:r>
      <w:r w:rsidR="00B40998">
        <w:rPr>
          <w:rFonts w:ascii="David" w:hAnsi="David"/>
          <w:noProof w:val="0"/>
          <w:rtl/>
        </w:rPr>
        <w:t>המשיבה</w:t>
      </w:r>
      <w:r w:rsidRPr="00B40998">
        <w:rPr>
          <w:rFonts w:ascii="David" w:hAnsi="David"/>
          <w:noProof w:val="0"/>
          <w:rtl/>
        </w:rPr>
        <w:t xml:space="preserve"> וזאת לאור האיחור בהגשת</w:t>
      </w:r>
      <w:r w:rsidR="00B40998">
        <w:rPr>
          <w:rFonts w:ascii="David" w:hAnsi="David" w:hint="cs"/>
          <w:noProof w:val="0"/>
          <w:rtl/>
        </w:rPr>
        <w:t>ו</w:t>
      </w:r>
      <w:r w:rsidRPr="00B40998">
        <w:rPr>
          <w:rFonts w:ascii="David" w:hAnsi="David"/>
          <w:noProof w:val="0"/>
          <w:rtl/>
        </w:rPr>
        <w:t>, כאשר המועד האחרון להגשת הערעור הי</w:t>
      </w:r>
      <w:r w:rsidR="00AF1FC8">
        <w:rPr>
          <w:rFonts w:ascii="David" w:hAnsi="David" w:hint="cs"/>
          <w:noProof w:val="0"/>
          <w:rtl/>
        </w:rPr>
        <w:t>ה</w:t>
      </w:r>
      <w:r w:rsidRPr="00B40998">
        <w:rPr>
          <w:rFonts w:ascii="David" w:hAnsi="David"/>
          <w:noProof w:val="0"/>
          <w:rtl/>
        </w:rPr>
        <w:t xml:space="preserve"> 8.6.23 ואילו הערעור הוגש ביום 22.6.2023.</w:t>
      </w:r>
    </w:p>
    <w:p w:rsidR="00E971D8" w:rsidRPr="00B40998" w:rsidRDefault="00B40998" w:rsidP="00B40998">
      <w:pPr>
        <w:pStyle w:val="ad"/>
        <w:spacing w:after="180" w:line="360" w:lineRule="auto"/>
        <w:ind w:left="652"/>
        <w:contextualSpacing w:val="0"/>
        <w:jc w:val="both"/>
        <w:rPr>
          <w:rFonts w:ascii="David" w:hAnsi="David"/>
          <w:noProof w:val="0"/>
          <w:rtl/>
        </w:rPr>
      </w:pPr>
      <w:r>
        <w:rPr>
          <w:rFonts w:ascii="David" w:hAnsi="David"/>
          <w:noProof w:val="0"/>
          <w:rtl/>
        </w:rPr>
        <w:t>המשיבה</w:t>
      </w:r>
      <w:r w:rsidR="00E971D8" w:rsidRPr="00B40998">
        <w:rPr>
          <w:rFonts w:ascii="David" w:hAnsi="David"/>
          <w:noProof w:val="0"/>
          <w:rtl/>
        </w:rPr>
        <w:t xml:space="preserve"> הודתה בתשובתה לבקשה </w:t>
      </w:r>
      <w:r w:rsidR="00DF4313">
        <w:rPr>
          <w:rFonts w:ascii="David" w:hAnsi="David" w:hint="cs"/>
          <w:noProof w:val="0"/>
          <w:rtl/>
        </w:rPr>
        <w:t xml:space="preserve">למחיקת הערעור </w:t>
      </w:r>
      <w:r w:rsidR="00E971D8" w:rsidRPr="00B40998">
        <w:rPr>
          <w:rFonts w:ascii="David" w:hAnsi="David"/>
          <w:noProof w:val="0"/>
          <w:rtl/>
        </w:rPr>
        <w:t>כי הערעור מטעמה הוגש באיחור, אולם טענה שיש מקום להאריך את המועד להגשתו היות ומדובר בערעור שהוגש בפרק הזמן המותר להגשת ערעור על פסק דין אזרחי (60 ימים).</w:t>
      </w:r>
    </w:p>
    <w:p w:rsidR="00E971D8" w:rsidRPr="00B40998" w:rsidRDefault="00E971D8" w:rsidP="00DF4313">
      <w:pPr>
        <w:pStyle w:val="ad"/>
        <w:spacing w:after="180" w:line="360" w:lineRule="auto"/>
        <w:ind w:left="652"/>
        <w:contextualSpacing w:val="0"/>
        <w:jc w:val="both"/>
        <w:rPr>
          <w:rFonts w:ascii="David" w:hAnsi="David"/>
          <w:noProof w:val="0"/>
        </w:rPr>
      </w:pPr>
      <w:r w:rsidRPr="00B40998">
        <w:rPr>
          <w:rFonts w:ascii="David" w:hAnsi="David"/>
          <w:noProof w:val="0"/>
          <w:rtl/>
        </w:rPr>
        <w:t xml:space="preserve">לחילופין ביקשה </w:t>
      </w:r>
      <w:r w:rsidR="00B40998">
        <w:rPr>
          <w:rFonts w:ascii="David" w:hAnsi="David"/>
          <w:noProof w:val="0"/>
          <w:rtl/>
        </w:rPr>
        <w:t>המשיבה</w:t>
      </w:r>
      <w:r w:rsidRPr="00B40998">
        <w:rPr>
          <w:rFonts w:ascii="David" w:hAnsi="David"/>
          <w:noProof w:val="0"/>
          <w:rtl/>
        </w:rPr>
        <w:t xml:space="preserve"> לתקן את כותרת הערעור ל- "ערעור שכנגד", כאשר לטעמה, ערעור שכזה ניתן להגיש 45 יום לאחר הגשת ערעור </w:t>
      </w:r>
      <w:r w:rsidR="00B40998">
        <w:rPr>
          <w:rFonts w:ascii="David" w:hAnsi="David"/>
          <w:noProof w:val="0"/>
          <w:rtl/>
        </w:rPr>
        <w:t>המערער</w:t>
      </w:r>
      <w:r w:rsidRPr="00B40998">
        <w:rPr>
          <w:rFonts w:ascii="David" w:hAnsi="David"/>
          <w:noProof w:val="0"/>
          <w:rtl/>
        </w:rPr>
        <w:t xml:space="preserve">, שכאמור הוגש ביום 5.6.2022, </w:t>
      </w:r>
      <w:r w:rsidR="00DF4313">
        <w:rPr>
          <w:rFonts w:ascii="David" w:hAnsi="David" w:hint="cs"/>
          <w:noProof w:val="0"/>
          <w:rtl/>
        </w:rPr>
        <w:t>כך ש</w:t>
      </w:r>
      <w:r w:rsidRPr="00B40998">
        <w:rPr>
          <w:rFonts w:ascii="David" w:hAnsi="David"/>
          <w:noProof w:val="0"/>
          <w:rtl/>
        </w:rPr>
        <w:t>לא חלף המועד להגיש</w:t>
      </w:r>
      <w:r w:rsidR="00DF4313">
        <w:rPr>
          <w:rFonts w:ascii="David" w:hAnsi="David" w:hint="cs"/>
          <w:noProof w:val="0"/>
          <w:rtl/>
        </w:rPr>
        <w:t xml:space="preserve"> ערעור שכנגד</w:t>
      </w:r>
      <w:r w:rsidRPr="00B40998">
        <w:rPr>
          <w:rFonts w:ascii="David" w:hAnsi="David"/>
          <w:noProof w:val="0"/>
          <w:rtl/>
        </w:rPr>
        <w:t>.</w:t>
      </w:r>
    </w:p>
    <w:p w:rsidR="006C5319" w:rsidRPr="00B40998" w:rsidRDefault="00E971D8" w:rsidP="00DF4313">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lastRenderedPageBreak/>
        <w:t xml:space="preserve">ביום 2.7.2023 ניתנה החלטת כב' </w:t>
      </w:r>
      <w:r w:rsidR="00DF4313">
        <w:rPr>
          <w:rFonts w:ascii="David" w:hAnsi="David" w:hint="cs"/>
          <w:noProof w:val="0"/>
          <w:rtl/>
        </w:rPr>
        <w:t xml:space="preserve">השופט </w:t>
      </w:r>
      <w:r w:rsidRPr="00B40998">
        <w:rPr>
          <w:rFonts w:ascii="David" w:hAnsi="David"/>
          <w:noProof w:val="0"/>
          <w:rtl/>
        </w:rPr>
        <w:t>יעקב שקד</w:t>
      </w:r>
      <w:r w:rsidR="00DF4313">
        <w:rPr>
          <w:rFonts w:ascii="David" w:hAnsi="David" w:hint="cs"/>
          <w:noProof w:val="0"/>
          <w:rtl/>
        </w:rPr>
        <w:t xml:space="preserve"> בכובעו כרשם</w:t>
      </w:r>
      <w:r w:rsidRPr="00B40998">
        <w:rPr>
          <w:rFonts w:ascii="David" w:hAnsi="David"/>
          <w:noProof w:val="0"/>
          <w:rtl/>
        </w:rPr>
        <w:t>. כב' הרשם שקד קבע כי הערעור הוגש באיחור. עוד קבע כב' הרשם שקד, כי אין פרוצדורה של תיקון כותרת כתב הערעור ל- "ערעור שכנגד" וככל ש</w:t>
      </w:r>
      <w:r w:rsidR="00B40998">
        <w:rPr>
          <w:rFonts w:ascii="David" w:hAnsi="David"/>
          <w:noProof w:val="0"/>
          <w:rtl/>
        </w:rPr>
        <w:t>המשיבה</w:t>
      </w:r>
      <w:r w:rsidRPr="00B40998">
        <w:rPr>
          <w:rFonts w:ascii="David" w:hAnsi="David"/>
          <w:noProof w:val="0"/>
          <w:rtl/>
        </w:rPr>
        <w:t xml:space="preserve"> מבקשת להגיש ערעור שכנגד יש לעשות זאת בתיק הערעור של </w:t>
      </w:r>
      <w:r w:rsidR="00B40998">
        <w:rPr>
          <w:rFonts w:ascii="David" w:hAnsi="David"/>
          <w:noProof w:val="0"/>
          <w:rtl/>
        </w:rPr>
        <w:t>המערער</w:t>
      </w:r>
      <w:r w:rsidRPr="00B40998">
        <w:rPr>
          <w:rFonts w:ascii="David" w:hAnsi="David"/>
          <w:noProof w:val="0"/>
          <w:rtl/>
        </w:rPr>
        <w:t>.</w:t>
      </w:r>
    </w:p>
    <w:p w:rsidR="00E971D8" w:rsidRPr="00B40998" w:rsidRDefault="00E971D8"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לאור האמור לעיל, הורה כב' הרשם שקד למחוק את ערעור </w:t>
      </w:r>
      <w:r w:rsidR="00B40998">
        <w:rPr>
          <w:rFonts w:ascii="David" w:hAnsi="David"/>
          <w:noProof w:val="0"/>
          <w:rtl/>
        </w:rPr>
        <w:t>המשיבה</w:t>
      </w:r>
      <w:r w:rsidRPr="00B40998">
        <w:rPr>
          <w:rFonts w:ascii="David" w:hAnsi="David"/>
          <w:noProof w:val="0"/>
          <w:rtl/>
        </w:rPr>
        <w:t>.</w:t>
      </w:r>
    </w:p>
    <w:p w:rsidR="00E971D8" w:rsidRPr="00B40998" w:rsidRDefault="00E971D8"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לגבי הגשת ערעור שכנגד, קבע כב' הרשם שקד:</w:t>
      </w:r>
    </w:p>
    <w:p w:rsidR="00E971D8" w:rsidRPr="00B40998" w:rsidRDefault="00E971D8" w:rsidP="00B40998">
      <w:pPr>
        <w:pStyle w:val="ad"/>
        <w:spacing w:after="180" w:line="360" w:lineRule="auto"/>
        <w:ind w:left="1077" w:right="284"/>
        <w:contextualSpacing w:val="0"/>
        <w:jc w:val="both"/>
        <w:rPr>
          <w:rFonts w:ascii="David" w:hAnsi="David"/>
          <w:b/>
          <w:bCs/>
          <w:noProof w:val="0"/>
        </w:rPr>
      </w:pPr>
      <w:r w:rsidRPr="00B40998">
        <w:rPr>
          <w:rFonts w:ascii="David" w:hAnsi="David"/>
          <w:b/>
          <w:bCs/>
          <w:noProof w:val="0"/>
          <w:rtl/>
        </w:rPr>
        <w:t xml:space="preserve">"חפצה המערערת להגיש ערעור שכנגד בערעור שהגיש המשיב, </w:t>
      </w:r>
      <w:r w:rsidR="00AF1FC8">
        <w:rPr>
          <w:rFonts w:ascii="David" w:hAnsi="David" w:hint="cs"/>
          <w:b/>
          <w:bCs/>
          <w:noProof w:val="0"/>
          <w:rtl/>
        </w:rPr>
        <w:t>ו</w:t>
      </w:r>
      <w:r w:rsidRPr="00B40998">
        <w:rPr>
          <w:rFonts w:ascii="David" w:hAnsi="David"/>
          <w:b/>
          <w:bCs/>
          <w:noProof w:val="0"/>
          <w:rtl/>
        </w:rPr>
        <w:t>איני קובע דבר בענין זה, תעשה כן"</w:t>
      </w:r>
    </w:p>
    <w:p w:rsidR="00434046" w:rsidRPr="00B40998" w:rsidRDefault="002812CA" w:rsidP="008B12D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ביום </w:t>
      </w:r>
      <w:r w:rsidR="008B12D8">
        <w:rPr>
          <w:rFonts w:ascii="David" w:hAnsi="David" w:hint="cs"/>
          <w:noProof w:val="0"/>
          <w:rtl/>
        </w:rPr>
        <w:t>3</w:t>
      </w:r>
      <w:r w:rsidRPr="00B40998">
        <w:rPr>
          <w:rFonts w:ascii="David" w:hAnsi="David"/>
          <w:noProof w:val="0"/>
          <w:rtl/>
        </w:rPr>
        <w:t xml:space="preserve">.7.2023 הגישה </w:t>
      </w:r>
      <w:r w:rsidR="00B40998">
        <w:rPr>
          <w:rFonts w:ascii="David" w:hAnsi="David"/>
          <w:noProof w:val="0"/>
          <w:rtl/>
        </w:rPr>
        <w:t>המשיבה</w:t>
      </w:r>
      <w:r w:rsidRPr="00B40998">
        <w:rPr>
          <w:rFonts w:ascii="David" w:hAnsi="David"/>
          <w:noProof w:val="0"/>
          <w:rtl/>
        </w:rPr>
        <w:t xml:space="preserve"> </w:t>
      </w:r>
      <w:r w:rsidR="008B12D8">
        <w:rPr>
          <w:rFonts w:ascii="David" w:hAnsi="David" w:hint="cs"/>
          <w:noProof w:val="0"/>
          <w:rtl/>
        </w:rPr>
        <w:t xml:space="preserve">'הודעת </w:t>
      </w:r>
      <w:r w:rsidRPr="00B40998">
        <w:rPr>
          <w:rFonts w:ascii="David" w:hAnsi="David"/>
          <w:noProof w:val="0"/>
          <w:rtl/>
        </w:rPr>
        <w:t>ערעור שכנגד</w:t>
      </w:r>
      <w:r w:rsidR="008B12D8">
        <w:rPr>
          <w:rFonts w:ascii="David" w:hAnsi="David" w:hint="cs"/>
          <w:noProof w:val="0"/>
          <w:rtl/>
        </w:rPr>
        <w:t>'</w:t>
      </w:r>
      <w:r w:rsidRPr="00B40998">
        <w:rPr>
          <w:rFonts w:ascii="David" w:hAnsi="David"/>
          <w:noProof w:val="0"/>
          <w:rtl/>
        </w:rPr>
        <w:t xml:space="preserve"> במסגרת תיק הערעור של </w:t>
      </w:r>
      <w:r w:rsidR="00B40998">
        <w:rPr>
          <w:rFonts w:ascii="David" w:hAnsi="David"/>
          <w:noProof w:val="0"/>
          <w:rtl/>
        </w:rPr>
        <w:t>המערער</w:t>
      </w:r>
      <w:r w:rsidRPr="00B40998">
        <w:rPr>
          <w:rFonts w:ascii="David" w:hAnsi="David"/>
          <w:noProof w:val="0"/>
          <w:rtl/>
        </w:rPr>
        <w:t xml:space="preserve"> (עמ"ש 8727-06-23).</w:t>
      </w:r>
    </w:p>
    <w:p w:rsidR="002812CA" w:rsidRPr="00B40998" w:rsidRDefault="00A718E5"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ביום 9.7.2023 הגיש </w:t>
      </w:r>
      <w:r w:rsidR="00B40998">
        <w:rPr>
          <w:rFonts w:ascii="David" w:hAnsi="David"/>
          <w:noProof w:val="0"/>
          <w:rtl/>
        </w:rPr>
        <w:t>המערער</w:t>
      </w:r>
      <w:r w:rsidRPr="00B40998">
        <w:rPr>
          <w:rFonts w:ascii="David" w:hAnsi="David"/>
          <w:noProof w:val="0"/>
          <w:rtl/>
        </w:rPr>
        <w:t xml:space="preserve"> בקשה למחיק</w:t>
      </w:r>
      <w:r w:rsidR="00FB451A">
        <w:rPr>
          <w:rFonts w:ascii="David" w:hAnsi="David" w:hint="cs"/>
          <w:noProof w:val="0"/>
          <w:rtl/>
        </w:rPr>
        <w:t>ת</w:t>
      </w:r>
      <w:r w:rsidRPr="00B40998">
        <w:rPr>
          <w:rFonts w:ascii="David" w:hAnsi="David"/>
          <w:noProof w:val="0"/>
          <w:rtl/>
        </w:rPr>
        <w:t xml:space="preserve"> הערעור שכנגד, וזאת מהטעם העיקרי כי תקנות בית משפט לענייני משפחה (סדרי דין)</w:t>
      </w:r>
      <w:r w:rsidR="00FB451A">
        <w:rPr>
          <w:rFonts w:ascii="David" w:hAnsi="David" w:hint="cs"/>
          <w:noProof w:val="0"/>
          <w:rtl/>
        </w:rPr>
        <w:t xml:space="preserve"> תשפ"א-2020</w:t>
      </w:r>
      <w:r w:rsidRPr="00B40998">
        <w:rPr>
          <w:rFonts w:ascii="David" w:hAnsi="David"/>
          <w:noProof w:val="0"/>
          <w:rtl/>
        </w:rPr>
        <w:t xml:space="preserve"> (להלן: </w:t>
      </w:r>
      <w:r w:rsidRPr="00B40998">
        <w:rPr>
          <w:rFonts w:ascii="David" w:hAnsi="David"/>
          <w:b/>
          <w:bCs/>
          <w:noProof w:val="0"/>
          <w:rtl/>
        </w:rPr>
        <w:t>"תקנות סד</w:t>
      </w:r>
      <w:r w:rsidR="000F4B37" w:rsidRPr="00B40998">
        <w:rPr>
          <w:rFonts w:ascii="David" w:hAnsi="David"/>
          <w:b/>
          <w:bCs/>
          <w:noProof w:val="0"/>
          <w:rtl/>
        </w:rPr>
        <w:t>רי</w:t>
      </w:r>
      <w:r w:rsidRPr="00B40998">
        <w:rPr>
          <w:rFonts w:ascii="David" w:hAnsi="David"/>
          <w:b/>
          <w:bCs/>
          <w:noProof w:val="0"/>
          <w:rtl/>
        </w:rPr>
        <w:t xml:space="preserve"> הדין משפחה"</w:t>
      </w:r>
      <w:r w:rsidR="008B12D8">
        <w:rPr>
          <w:rFonts w:ascii="David" w:hAnsi="David"/>
          <w:noProof w:val="0"/>
          <w:rtl/>
        </w:rPr>
        <w:t>) אינ</w:t>
      </w:r>
      <w:r w:rsidR="008B12D8">
        <w:rPr>
          <w:rFonts w:ascii="David" w:hAnsi="David" w:hint="cs"/>
          <w:noProof w:val="0"/>
          <w:rtl/>
        </w:rPr>
        <w:t>ן</w:t>
      </w:r>
      <w:r w:rsidRPr="00B40998">
        <w:rPr>
          <w:rFonts w:ascii="David" w:hAnsi="David"/>
          <w:noProof w:val="0"/>
          <w:rtl/>
        </w:rPr>
        <w:t xml:space="preserve"> מכירות במושג של "ערעור שכנגד" ואין מכוחן זכות להגשת "ערעור שכנגד" או "ערעור משיב".</w:t>
      </w:r>
    </w:p>
    <w:p w:rsidR="00A718E5" w:rsidRPr="00B40998" w:rsidRDefault="00A718E5" w:rsidP="008B12D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ביום 18.7.2023 הוגשה תשובת </w:t>
      </w:r>
      <w:r w:rsidR="00B40998">
        <w:rPr>
          <w:rFonts w:ascii="David" w:hAnsi="David"/>
          <w:noProof w:val="0"/>
          <w:rtl/>
        </w:rPr>
        <w:t>המשיבה</w:t>
      </w:r>
      <w:r w:rsidRPr="00B40998">
        <w:rPr>
          <w:rFonts w:ascii="David" w:hAnsi="David"/>
          <w:noProof w:val="0"/>
          <w:rtl/>
        </w:rPr>
        <w:t xml:space="preserve"> לבקשה. במסגרתה טענה </w:t>
      </w:r>
      <w:r w:rsidR="00B40998">
        <w:rPr>
          <w:rFonts w:ascii="David" w:hAnsi="David"/>
          <w:noProof w:val="0"/>
          <w:rtl/>
        </w:rPr>
        <w:t>המשיבה</w:t>
      </w:r>
      <w:r w:rsidR="008B12D8">
        <w:rPr>
          <w:rFonts w:ascii="David" w:hAnsi="David" w:hint="cs"/>
          <w:noProof w:val="0"/>
          <w:rtl/>
        </w:rPr>
        <w:t xml:space="preserve"> </w:t>
      </w:r>
      <w:r w:rsidRPr="00B40998">
        <w:rPr>
          <w:rFonts w:ascii="David" w:hAnsi="David"/>
          <w:noProof w:val="0"/>
          <w:rtl/>
        </w:rPr>
        <w:t>שאין מקום לפרש את תקנות סדר</w:t>
      </w:r>
      <w:r w:rsidR="00DF4313">
        <w:rPr>
          <w:rFonts w:ascii="David" w:hAnsi="David" w:hint="cs"/>
          <w:noProof w:val="0"/>
          <w:rtl/>
        </w:rPr>
        <w:t>י</w:t>
      </w:r>
      <w:r w:rsidRPr="00B40998">
        <w:rPr>
          <w:rFonts w:ascii="David" w:hAnsi="David"/>
          <w:noProof w:val="0"/>
          <w:rtl/>
        </w:rPr>
        <w:t xml:space="preserve"> הדין משפחה כ</w:t>
      </w:r>
      <w:r w:rsidR="00DF4313">
        <w:rPr>
          <w:rFonts w:ascii="David" w:hAnsi="David" w:hint="cs"/>
          <w:noProof w:val="0"/>
          <w:rtl/>
        </w:rPr>
        <w:t>כאלו ש</w:t>
      </w:r>
      <w:r w:rsidRPr="00B40998">
        <w:rPr>
          <w:rFonts w:ascii="David" w:hAnsi="David"/>
          <w:noProof w:val="0"/>
          <w:rtl/>
        </w:rPr>
        <w:t>אינ</w:t>
      </w:r>
      <w:r w:rsidR="00DF4313">
        <w:rPr>
          <w:rFonts w:ascii="David" w:hAnsi="David" w:hint="cs"/>
          <w:noProof w:val="0"/>
          <w:rtl/>
        </w:rPr>
        <w:t>ן</w:t>
      </w:r>
      <w:r w:rsidRPr="00B40998">
        <w:rPr>
          <w:rFonts w:ascii="David" w:hAnsi="David"/>
          <w:noProof w:val="0"/>
          <w:rtl/>
        </w:rPr>
        <w:t xml:space="preserve"> מאפשרות להגיש ערעור שכנגד, או ערעור משיב</w:t>
      </w:r>
      <w:r w:rsidR="00DF4313">
        <w:rPr>
          <w:rFonts w:ascii="David" w:hAnsi="David" w:hint="cs"/>
          <w:noProof w:val="0"/>
          <w:rtl/>
        </w:rPr>
        <w:t>,</w:t>
      </w:r>
      <w:r w:rsidRPr="00B40998">
        <w:rPr>
          <w:rFonts w:ascii="David" w:hAnsi="David"/>
          <w:noProof w:val="0"/>
          <w:rtl/>
        </w:rPr>
        <w:t xml:space="preserve"> כפי שהוא מכונה בתקנות סדר הדין האזרחי, התשע"ט - 2018 (להלן: </w:t>
      </w:r>
      <w:r w:rsidRPr="00B40998">
        <w:rPr>
          <w:rFonts w:ascii="David" w:hAnsi="David"/>
          <w:b/>
          <w:bCs/>
          <w:noProof w:val="0"/>
          <w:rtl/>
        </w:rPr>
        <w:t>"תקנות סדר הדין</w:t>
      </w:r>
      <w:r w:rsidR="00DF4313">
        <w:rPr>
          <w:rFonts w:ascii="David" w:hAnsi="David" w:hint="cs"/>
          <w:b/>
          <w:bCs/>
          <w:noProof w:val="0"/>
          <w:rtl/>
        </w:rPr>
        <w:t xml:space="preserve"> האזרחי</w:t>
      </w:r>
      <w:r w:rsidRPr="00B40998">
        <w:rPr>
          <w:rFonts w:ascii="David" w:hAnsi="David"/>
          <w:b/>
          <w:bCs/>
          <w:noProof w:val="0"/>
          <w:rtl/>
        </w:rPr>
        <w:t>"</w:t>
      </w:r>
      <w:r w:rsidRPr="00B40998">
        <w:rPr>
          <w:rFonts w:ascii="David" w:hAnsi="David"/>
          <w:noProof w:val="0"/>
          <w:rtl/>
        </w:rPr>
        <w:t>).</w:t>
      </w:r>
    </w:p>
    <w:p w:rsidR="00A718E5" w:rsidRPr="00B40998" w:rsidRDefault="000F4B37" w:rsidP="008B12D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ביום 18.7.2023 ניתנה החלטת כב' הרשמת אורלי מור-אל נשוא הערעור שלפניי. כב' הרשמת מור-אל דוחה את טענת </w:t>
      </w:r>
      <w:r w:rsidR="00B40998">
        <w:rPr>
          <w:rFonts w:ascii="David" w:hAnsi="David"/>
          <w:noProof w:val="0"/>
          <w:rtl/>
        </w:rPr>
        <w:t>המערער</w:t>
      </w:r>
      <w:r w:rsidRPr="00B40998">
        <w:rPr>
          <w:rFonts w:ascii="David" w:hAnsi="David"/>
          <w:noProof w:val="0"/>
          <w:rtl/>
        </w:rPr>
        <w:t xml:space="preserve"> כי תקנות סדרי הדין משפחה התכוונו לבטל את מוסד "ערעור המשיב"</w:t>
      </w:r>
      <w:r w:rsidR="008B12D8">
        <w:rPr>
          <w:rFonts w:ascii="David" w:hAnsi="David" w:hint="cs"/>
          <w:noProof w:val="0"/>
          <w:rtl/>
        </w:rPr>
        <w:t>.</w:t>
      </w:r>
      <w:r w:rsidRPr="00B40998">
        <w:rPr>
          <w:rFonts w:ascii="David" w:hAnsi="David"/>
          <w:noProof w:val="0"/>
          <w:rtl/>
        </w:rPr>
        <w:t xml:space="preserve"> לטעמה </w:t>
      </w:r>
      <w:r w:rsidR="008B12D8">
        <w:rPr>
          <w:rFonts w:ascii="David" w:hAnsi="David" w:hint="cs"/>
          <w:noProof w:val="0"/>
          <w:rtl/>
        </w:rPr>
        <w:t xml:space="preserve">של כב' הרשמת מור-אל, </w:t>
      </w:r>
      <w:r w:rsidRPr="00B40998">
        <w:rPr>
          <w:rFonts w:ascii="David" w:hAnsi="David"/>
          <w:noProof w:val="0"/>
          <w:rtl/>
        </w:rPr>
        <w:t>כוונת</w:t>
      </w:r>
      <w:r w:rsidR="00DF4313">
        <w:rPr>
          <w:rFonts w:ascii="David" w:hAnsi="David" w:hint="cs"/>
          <w:noProof w:val="0"/>
          <w:rtl/>
        </w:rPr>
        <w:t xml:space="preserve"> תקנות</w:t>
      </w:r>
      <w:r w:rsidR="008B12D8">
        <w:rPr>
          <w:rFonts w:ascii="David" w:hAnsi="David" w:hint="cs"/>
          <w:noProof w:val="0"/>
          <w:rtl/>
        </w:rPr>
        <w:t xml:space="preserve"> סדרי הדין משפחה</w:t>
      </w:r>
      <w:r w:rsidR="00DF4313">
        <w:rPr>
          <w:rFonts w:ascii="David" w:hAnsi="David" w:hint="cs"/>
          <w:noProof w:val="0"/>
          <w:rtl/>
        </w:rPr>
        <w:t xml:space="preserve"> </w:t>
      </w:r>
      <w:r w:rsidRPr="00B40998">
        <w:rPr>
          <w:rFonts w:ascii="David" w:hAnsi="David"/>
          <w:noProof w:val="0"/>
          <w:rtl/>
        </w:rPr>
        <w:t>הינה לקבוע סד זמנים בן 45 יום להגשת ערעור וערעור משיב</w:t>
      </w:r>
      <w:r w:rsidR="00DF4313">
        <w:rPr>
          <w:rFonts w:ascii="David" w:hAnsi="David" w:hint="cs"/>
          <w:noProof w:val="0"/>
          <w:rtl/>
        </w:rPr>
        <w:t xml:space="preserve"> וזאת להבדיל מ- 60 הימים שנקבעו בתקנות סדר הדין האזרחי</w:t>
      </w:r>
      <w:r w:rsidRPr="00B40998">
        <w:rPr>
          <w:rFonts w:ascii="David" w:hAnsi="David"/>
          <w:noProof w:val="0"/>
          <w:rtl/>
        </w:rPr>
        <w:t>. כב' הרשמת מור-אל מפנה לעניין זה לפסק הדין בעני</w:t>
      </w:r>
      <w:r w:rsidR="00FB451A">
        <w:rPr>
          <w:rFonts w:ascii="David" w:hAnsi="David" w:hint="cs"/>
          <w:noProof w:val="0"/>
          <w:rtl/>
        </w:rPr>
        <w:t>י</w:t>
      </w:r>
      <w:r w:rsidRPr="00B40998">
        <w:rPr>
          <w:rFonts w:ascii="David" w:hAnsi="David"/>
          <w:noProof w:val="0"/>
          <w:rtl/>
        </w:rPr>
        <w:t xml:space="preserve">ן </w:t>
      </w:r>
      <w:r w:rsidR="00941882" w:rsidRPr="00B40998">
        <w:rPr>
          <w:rFonts w:ascii="David" w:hAnsi="David"/>
          <w:noProof w:val="0"/>
          <w:rtl/>
        </w:rPr>
        <w:t xml:space="preserve">עמ"ש (חי') 26203-06-21‏ </w:t>
      </w:r>
      <w:r w:rsidR="00941882" w:rsidRPr="00B40998">
        <w:rPr>
          <w:rFonts w:ascii="David" w:hAnsi="David"/>
          <w:b/>
          <w:bCs/>
          <w:noProof w:val="0"/>
          <w:rtl/>
        </w:rPr>
        <w:t>א.ב. נ' א.א.</w:t>
      </w:r>
      <w:r w:rsidR="00941882" w:rsidRPr="00B40998">
        <w:rPr>
          <w:rFonts w:ascii="David" w:hAnsi="David"/>
          <w:noProof w:val="0"/>
          <w:rtl/>
        </w:rPr>
        <w:t xml:space="preserve"> [פורסם במאגר נבו] (25.8.2021) (להלן:</w:t>
      </w:r>
      <w:r w:rsidR="00941882" w:rsidRPr="00B40998">
        <w:rPr>
          <w:rFonts w:ascii="David" w:hAnsi="David"/>
          <w:b/>
          <w:bCs/>
          <w:noProof w:val="0"/>
          <w:rtl/>
        </w:rPr>
        <w:t xml:space="preserve"> "עניין א.ב."</w:t>
      </w:r>
      <w:r w:rsidR="00941882" w:rsidRPr="00B40998">
        <w:rPr>
          <w:rFonts w:ascii="David" w:hAnsi="David"/>
          <w:noProof w:val="0"/>
          <w:rtl/>
        </w:rPr>
        <w:t>)‏</w:t>
      </w:r>
      <w:r w:rsidR="00941882">
        <w:rPr>
          <w:rFonts w:ascii="David" w:hAnsi="David" w:hint="cs"/>
          <w:noProof w:val="0"/>
          <w:rtl/>
        </w:rPr>
        <w:t xml:space="preserve">, אשר </w:t>
      </w:r>
      <w:r w:rsidRPr="00B40998">
        <w:rPr>
          <w:rFonts w:ascii="David" w:hAnsi="David"/>
          <w:noProof w:val="0"/>
          <w:rtl/>
        </w:rPr>
        <w:t xml:space="preserve">במסגרתו נקבע כי המועד להגשת ערעור משיב </w:t>
      </w:r>
      <w:r w:rsidR="008B12D8">
        <w:rPr>
          <w:rFonts w:ascii="David" w:hAnsi="David" w:hint="cs"/>
          <w:noProof w:val="0"/>
          <w:rtl/>
        </w:rPr>
        <w:t xml:space="preserve">בענייני משפחה </w:t>
      </w:r>
      <w:r w:rsidRPr="00B40998">
        <w:rPr>
          <w:rFonts w:ascii="David" w:hAnsi="David"/>
          <w:noProof w:val="0"/>
          <w:rtl/>
        </w:rPr>
        <w:t>הינו 45 יום ולא 60 יום.</w:t>
      </w:r>
    </w:p>
    <w:p w:rsidR="00941882" w:rsidRDefault="000F4B37" w:rsidP="00941882">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ביום 19.7.2023 ה</w:t>
      </w:r>
      <w:r w:rsidR="00740301" w:rsidRPr="00B40998">
        <w:rPr>
          <w:rFonts w:ascii="David" w:hAnsi="David"/>
          <w:noProof w:val="0"/>
          <w:rtl/>
        </w:rPr>
        <w:t xml:space="preserve">גיש </w:t>
      </w:r>
      <w:r w:rsidR="00B40998">
        <w:rPr>
          <w:rFonts w:ascii="David" w:hAnsi="David"/>
          <w:noProof w:val="0"/>
          <w:rtl/>
        </w:rPr>
        <w:t>המערער</w:t>
      </w:r>
      <w:r w:rsidR="00941882">
        <w:rPr>
          <w:rFonts w:ascii="David" w:hAnsi="David"/>
          <w:noProof w:val="0"/>
          <w:rtl/>
        </w:rPr>
        <w:t xml:space="preserve"> בקשה לעיון חוזר</w:t>
      </w:r>
      <w:r w:rsidR="00941882">
        <w:rPr>
          <w:rFonts w:ascii="David" w:hAnsi="David" w:hint="cs"/>
          <w:noProof w:val="0"/>
          <w:rtl/>
        </w:rPr>
        <w:t>.</w:t>
      </w:r>
    </w:p>
    <w:p w:rsidR="00941882" w:rsidRPr="00B40998" w:rsidRDefault="00941882" w:rsidP="00941882">
      <w:pPr>
        <w:pStyle w:val="ad"/>
        <w:spacing w:after="180" w:line="360" w:lineRule="auto"/>
        <w:ind w:left="652"/>
        <w:contextualSpacing w:val="0"/>
        <w:jc w:val="both"/>
        <w:rPr>
          <w:rFonts w:ascii="David" w:hAnsi="David"/>
          <w:noProof w:val="0"/>
        </w:rPr>
      </w:pPr>
      <w:r>
        <w:rPr>
          <w:rFonts w:ascii="David" w:hAnsi="David" w:hint="cs"/>
          <w:noProof w:val="0"/>
          <w:rtl/>
        </w:rPr>
        <w:t xml:space="preserve">הבקשה מתבססת על </w:t>
      </w:r>
      <w:r w:rsidRPr="00B40998">
        <w:rPr>
          <w:rFonts w:ascii="David" w:hAnsi="David"/>
          <w:noProof w:val="0"/>
          <w:rtl/>
        </w:rPr>
        <w:t xml:space="preserve">תיקון תשפ"ג לתקנות סדרי הדין משפחה </w:t>
      </w:r>
      <w:r>
        <w:rPr>
          <w:rFonts w:ascii="David" w:hAnsi="David" w:hint="cs"/>
          <w:noProof w:val="0"/>
          <w:rtl/>
        </w:rPr>
        <w:t xml:space="preserve">מיום 19.12.2022 </w:t>
      </w:r>
      <w:r w:rsidRPr="00B40998">
        <w:rPr>
          <w:rFonts w:ascii="David" w:hAnsi="David"/>
          <w:noProof w:val="0"/>
          <w:rtl/>
        </w:rPr>
        <w:t xml:space="preserve">(ק"ת תשפ"ג 10443, 558) (להלן: </w:t>
      </w:r>
      <w:r w:rsidRPr="00B40998">
        <w:rPr>
          <w:rFonts w:ascii="David" w:hAnsi="David"/>
          <w:b/>
          <w:bCs/>
          <w:noProof w:val="0"/>
          <w:rtl/>
        </w:rPr>
        <w:t>"תיקון 2022"</w:t>
      </w:r>
      <w:r w:rsidRPr="00B40998">
        <w:rPr>
          <w:rFonts w:ascii="David" w:hAnsi="David"/>
          <w:noProof w:val="0"/>
          <w:rtl/>
        </w:rPr>
        <w:t>), אשר נכנס לתוקף ביום 18.1.</w:t>
      </w:r>
      <w:r>
        <w:rPr>
          <w:rFonts w:ascii="David" w:hAnsi="David"/>
          <w:noProof w:val="0"/>
          <w:rtl/>
        </w:rPr>
        <w:t>2023</w:t>
      </w:r>
      <w:r>
        <w:rPr>
          <w:rFonts w:ascii="David" w:hAnsi="David" w:hint="cs"/>
          <w:noProof w:val="0"/>
          <w:rtl/>
        </w:rPr>
        <w:t xml:space="preserve">, ובפרט על תזכיר התיקון הכולל דברי הסבר (להלן: </w:t>
      </w:r>
      <w:r w:rsidRPr="00941882">
        <w:rPr>
          <w:rFonts w:ascii="David" w:hAnsi="David" w:hint="cs"/>
          <w:b/>
          <w:bCs/>
          <w:noProof w:val="0"/>
          <w:rtl/>
        </w:rPr>
        <w:t>"תזכיר תיקון 2022"</w:t>
      </w:r>
      <w:r>
        <w:rPr>
          <w:rFonts w:ascii="David" w:hAnsi="David" w:hint="cs"/>
          <w:noProof w:val="0"/>
          <w:rtl/>
        </w:rPr>
        <w:t>).</w:t>
      </w:r>
    </w:p>
    <w:p w:rsidR="00740301" w:rsidRPr="00B40998" w:rsidRDefault="00941882" w:rsidP="00841CA5">
      <w:pPr>
        <w:pStyle w:val="ad"/>
        <w:spacing w:after="180" w:line="360" w:lineRule="auto"/>
        <w:ind w:left="652"/>
        <w:contextualSpacing w:val="0"/>
        <w:jc w:val="both"/>
        <w:rPr>
          <w:rFonts w:ascii="David" w:hAnsi="David"/>
          <w:noProof w:val="0"/>
        </w:rPr>
      </w:pPr>
      <w:r>
        <w:rPr>
          <w:rFonts w:ascii="David" w:hAnsi="David" w:hint="cs"/>
          <w:noProof w:val="0"/>
          <w:rtl/>
        </w:rPr>
        <w:lastRenderedPageBreak/>
        <w:t>לטענת המשיב מ</w:t>
      </w:r>
      <w:r w:rsidR="00740301" w:rsidRPr="00B40998">
        <w:rPr>
          <w:rFonts w:ascii="David" w:hAnsi="David"/>
          <w:noProof w:val="0"/>
          <w:rtl/>
        </w:rPr>
        <w:t xml:space="preserve">תיקון </w:t>
      </w:r>
      <w:r>
        <w:rPr>
          <w:rFonts w:ascii="David" w:hAnsi="David" w:hint="cs"/>
          <w:noProof w:val="0"/>
          <w:rtl/>
        </w:rPr>
        <w:t>2022</w:t>
      </w:r>
      <w:r w:rsidR="00740301" w:rsidRPr="00B40998">
        <w:rPr>
          <w:rFonts w:ascii="David" w:hAnsi="David"/>
          <w:noProof w:val="0"/>
          <w:rtl/>
        </w:rPr>
        <w:t xml:space="preserve"> </w:t>
      </w:r>
      <w:r>
        <w:rPr>
          <w:rFonts w:ascii="David" w:hAnsi="David" w:hint="cs"/>
          <w:noProof w:val="0"/>
          <w:rtl/>
        </w:rPr>
        <w:t xml:space="preserve">ומתזכיר התיקון </w:t>
      </w:r>
      <w:r w:rsidR="00740301" w:rsidRPr="00B40998">
        <w:rPr>
          <w:rFonts w:ascii="David" w:hAnsi="David"/>
          <w:noProof w:val="0"/>
          <w:rtl/>
        </w:rPr>
        <w:t>עולה</w:t>
      </w:r>
      <w:r w:rsidR="00FB451A">
        <w:rPr>
          <w:rFonts w:ascii="David" w:hAnsi="David" w:hint="cs"/>
          <w:noProof w:val="0"/>
          <w:rtl/>
        </w:rPr>
        <w:t>,</w:t>
      </w:r>
      <w:r w:rsidR="00740301" w:rsidRPr="00B40998">
        <w:rPr>
          <w:rFonts w:ascii="David" w:hAnsi="David"/>
          <w:noProof w:val="0"/>
          <w:rtl/>
        </w:rPr>
        <w:t xml:space="preserve"> כי אכן מחוקק המשנה התכוון לבטל את מוסד </w:t>
      </w:r>
      <w:r w:rsidR="00841CA5">
        <w:rPr>
          <w:rFonts w:ascii="David" w:hAnsi="David" w:hint="cs"/>
          <w:noProof w:val="0"/>
          <w:rtl/>
        </w:rPr>
        <w:t>'</w:t>
      </w:r>
      <w:r w:rsidR="00740301" w:rsidRPr="00B40998">
        <w:rPr>
          <w:rFonts w:ascii="David" w:hAnsi="David"/>
          <w:noProof w:val="0"/>
          <w:rtl/>
        </w:rPr>
        <w:t>ערעור המשיב</w:t>
      </w:r>
      <w:r w:rsidR="00841CA5">
        <w:rPr>
          <w:rFonts w:ascii="David" w:hAnsi="David" w:hint="cs"/>
          <w:noProof w:val="0"/>
          <w:rtl/>
        </w:rPr>
        <w:t>'</w:t>
      </w:r>
      <w:r w:rsidR="00740301" w:rsidRPr="00B40998">
        <w:rPr>
          <w:rFonts w:ascii="David" w:hAnsi="David"/>
          <w:noProof w:val="0"/>
          <w:rtl/>
        </w:rPr>
        <w:t xml:space="preserve"> בבית המשפט לענייני משפחה.</w:t>
      </w:r>
    </w:p>
    <w:p w:rsidR="00740301" w:rsidRPr="00B40998" w:rsidRDefault="00740301"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ביום 19.7.2023 ניתנה החלטת כב' הרשמת מור-אל הדוחה את הבקשה לעיון חוזר, כאשר</w:t>
      </w:r>
      <w:r w:rsidR="00841CA5">
        <w:rPr>
          <w:rFonts w:ascii="David" w:hAnsi="David" w:hint="cs"/>
          <w:noProof w:val="0"/>
          <w:rtl/>
        </w:rPr>
        <w:t xml:space="preserve"> לטעמה</w:t>
      </w:r>
      <w:r w:rsidRPr="00B40998">
        <w:rPr>
          <w:rFonts w:ascii="David" w:hAnsi="David"/>
          <w:noProof w:val="0"/>
          <w:rtl/>
        </w:rPr>
        <w:t xml:space="preserve"> לא מתקיימים התנאים המצדיקים עיון חוזר בהחלטה.</w:t>
      </w:r>
    </w:p>
    <w:p w:rsidR="00740301" w:rsidRPr="00B40998" w:rsidRDefault="00740301" w:rsidP="00B40998">
      <w:pPr>
        <w:spacing w:after="180" w:line="360" w:lineRule="auto"/>
        <w:jc w:val="both"/>
        <w:rPr>
          <w:rFonts w:ascii="David" w:hAnsi="David"/>
          <w:b/>
          <w:bCs/>
          <w:noProof w:val="0"/>
          <w:u w:val="single"/>
          <w:rtl/>
        </w:rPr>
      </w:pPr>
      <w:r w:rsidRPr="00B40998">
        <w:rPr>
          <w:rFonts w:ascii="David" w:hAnsi="David"/>
          <w:b/>
          <w:bCs/>
          <w:noProof w:val="0"/>
          <w:u w:val="single"/>
          <w:rtl/>
        </w:rPr>
        <w:t>הערעור, והתשובה לערעור</w:t>
      </w:r>
    </w:p>
    <w:p w:rsidR="00FA30EF" w:rsidRPr="00B40998" w:rsidRDefault="00740301"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הערעור שלפני הוגש על ההחלטה העקרונית של כב' הרשמת מור-אל מיום 18.7.2023 וכן על החלטתה </w:t>
      </w:r>
      <w:r w:rsidR="00A80A03" w:rsidRPr="00B40998">
        <w:rPr>
          <w:rFonts w:ascii="David" w:hAnsi="David"/>
          <w:noProof w:val="0"/>
          <w:rtl/>
        </w:rPr>
        <w:t xml:space="preserve">מיום 19.7.2023 </w:t>
      </w:r>
      <w:r w:rsidRPr="00B40998">
        <w:rPr>
          <w:rFonts w:ascii="David" w:hAnsi="David"/>
          <w:noProof w:val="0"/>
          <w:rtl/>
        </w:rPr>
        <w:t>לדחות את הבק</w:t>
      </w:r>
      <w:r w:rsidR="00A80A03" w:rsidRPr="00B40998">
        <w:rPr>
          <w:rFonts w:ascii="David" w:hAnsi="David"/>
          <w:noProof w:val="0"/>
          <w:rtl/>
        </w:rPr>
        <w:t>שה לעיון נוסף.</w:t>
      </w:r>
    </w:p>
    <w:p w:rsidR="00A80A03" w:rsidRPr="00B40998" w:rsidRDefault="008B12D8" w:rsidP="00D815FC">
      <w:pPr>
        <w:pStyle w:val="ad"/>
        <w:spacing w:after="180" w:line="360" w:lineRule="auto"/>
        <w:ind w:left="652"/>
        <w:contextualSpacing w:val="0"/>
        <w:jc w:val="both"/>
        <w:rPr>
          <w:rFonts w:ascii="David" w:hAnsi="David"/>
          <w:noProof w:val="0"/>
        </w:rPr>
      </w:pPr>
      <w:r>
        <w:rPr>
          <w:rFonts w:ascii="David" w:hAnsi="David" w:hint="cs"/>
          <w:noProof w:val="0"/>
          <w:rtl/>
        </w:rPr>
        <w:t xml:space="preserve">במאמר מוסגר </w:t>
      </w:r>
      <w:r w:rsidR="00A80A03" w:rsidRPr="00B40998">
        <w:rPr>
          <w:rFonts w:ascii="David" w:hAnsi="David"/>
          <w:noProof w:val="0"/>
          <w:rtl/>
        </w:rPr>
        <w:t>אציין</w:t>
      </w:r>
      <w:r w:rsidR="00FA30EF" w:rsidRPr="00B40998">
        <w:rPr>
          <w:rFonts w:ascii="David" w:hAnsi="David"/>
          <w:noProof w:val="0"/>
          <w:rtl/>
        </w:rPr>
        <w:t>,</w:t>
      </w:r>
      <w:r w:rsidR="00A80A03" w:rsidRPr="00B40998">
        <w:rPr>
          <w:rFonts w:ascii="David" w:hAnsi="David"/>
          <w:noProof w:val="0"/>
          <w:rtl/>
        </w:rPr>
        <w:t xml:space="preserve"> כי בכותרת כתב הערעור מצוינת גם החלטתו של כב' הרשם שקד מיום 2.7.2023, אבל </w:t>
      </w:r>
      <w:r w:rsidR="00FA30EF" w:rsidRPr="00B40998">
        <w:rPr>
          <w:rFonts w:ascii="David" w:hAnsi="David"/>
          <w:noProof w:val="0"/>
          <w:rtl/>
        </w:rPr>
        <w:t xml:space="preserve">לגופם של דברים אין בכתב הערעור נימוקים בעניין </w:t>
      </w:r>
      <w:r w:rsidR="00841CA5">
        <w:rPr>
          <w:rFonts w:ascii="David" w:hAnsi="David" w:hint="cs"/>
          <w:noProof w:val="0"/>
          <w:rtl/>
        </w:rPr>
        <w:t xml:space="preserve">החלטה </w:t>
      </w:r>
      <w:r w:rsidR="00FA30EF" w:rsidRPr="00B40998">
        <w:rPr>
          <w:rFonts w:ascii="David" w:hAnsi="David"/>
          <w:noProof w:val="0"/>
          <w:rtl/>
        </w:rPr>
        <w:t>ז</w:t>
      </w:r>
      <w:r w:rsidR="00841CA5">
        <w:rPr>
          <w:rFonts w:ascii="David" w:hAnsi="David" w:hint="cs"/>
          <w:noProof w:val="0"/>
          <w:rtl/>
        </w:rPr>
        <w:t>ו</w:t>
      </w:r>
      <w:r>
        <w:rPr>
          <w:rFonts w:ascii="David" w:hAnsi="David"/>
          <w:noProof w:val="0"/>
          <w:rtl/>
        </w:rPr>
        <w:t>, ובכל מקרה, לא נפל בה כל פגם</w:t>
      </w:r>
      <w:r>
        <w:rPr>
          <w:rFonts w:ascii="David" w:hAnsi="David" w:hint="cs"/>
          <w:noProof w:val="0"/>
          <w:rtl/>
        </w:rPr>
        <w:t xml:space="preserve">. כך </w:t>
      </w:r>
      <w:r w:rsidR="00D815FC">
        <w:rPr>
          <w:rFonts w:ascii="David" w:hAnsi="David" w:hint="cs"/>
          <w:noProof w:val="0"/>
          <w:rtl/>
        </w:rPr>
        <w:t>או</w:t>
      </w:r>
      <w:r>
        <w:rPr>
          <w:rFonts w:ascii="David" w:hAnsi="David" w:hint="cs"/>
          <w:noProof w:val="0"/>
          <w:rtl/>
        </w:rPr>
        <w:t xml:space="preserve"> כך, החלטת כב' הרשם שקד</w:t>
      </w:r>
      <w:r w:rsidR="00FA30EF" w:rsidRPr="00B40998">
        <w:rPr>
          <w:rFonts w:ascii="David" w:hAnsi="David"/>
          <w:noProof w:val="0"/>
          <w:rtl/>
        </w:rPr>
        <w:t xml:space="preserve"> אינה רלוונטית למחלוקת נש</w:t>
      </w:r>
      <w:r w:rsidR="00841CA5">
        <w:rPr>
          <w:rFonts w:ascii="David" w:hAnsi="David" w:hint="cs"/>
          <w:noProof w:val="0"/>
          <w:rtl/>
        </w:rPr>
        <w:t>ו</w:t>
      </w:r>
      <w:r w:rsidR="00FA30EF" w:rsidRPr="00B40998">
        <w:rPr>
          <w:rFonts w:ascii="David" w:hAnsi="David"/>
          <w:noProof w:val="0"/>
          <w:rtl/>
        </w:rPr>
        <w:t xml:space="preserve">א הערעור </w:t>
      </w:r>
      <w:r>
        <w:rPr>
          <w:rFonts w:ascii="David" w:hAnsi="David" w:hint="cs"/>
          <w:noProof w:val="0"/>
          <w:rtl/>
        </w:rPr>
        <w:t>אשר נסובה</w:t>
      </w:r>
      <w:r w:rsidR="00FA30EF" w:rsidRPr="00B40998">
        <w:rPr>
          <w:rFonts w:ascii="David" w:hAnsi="David"/>
          <w:noProof w:val="0"/>
          <w:rtl/>
        </w:rPr>
        <w:t xml:space="preserve"> </w:t>
      </w:r>
      <w:r>
        <w:rPr>
          <w:rFonts w:ascii="David" w:hAnsi="David" w:hint="cs"/>
          <w:noProof w:val="0"/>
          <w:rtl/>
        </w:rPr>
        <w:t xml:space="preserve">על </w:t>
      </w:r>
      <w:r w:rsidR="00FA30EF" w:rsidRPr="00B40998">
        <w:rPr>
          <w:rFonts w:ascii="David" w:hAnsi="David"/>
          <w:noProof w:val="0"/>
          <w:rtl/>
        </w:rPr>
        <w:t>ה</w:t>
      </w:r>
      <w:r w:rsidR="00D815FC">
        <w:rPr>
          <w:rFonts w:ascii="David" w:hAnsi="David" w:hint="cs"/>
          <w:noProof w:val="0"/>
          <w:rtl/>
        </w:rPr>
        <w:t>ה</w:t>
      </w:r>
      <w:r w:rsidR="00FA30EF" w:rsidRPr="00B40998">
        <w:rPr>
          <w:rFonts w:ascii="David" w:hAnsi="David"/>
          <w:noProof w:val="0"/>
          <w:rtl/>
        </w:rPr>
        <w:t>חלט</w:t>
      </w:r>
      <w:r>
        <w:rPr>
          <w:rFonts w:ascii="David" w:hAnsi="David" w:hint="cs"/>
          <w:noProof w:val="0"/>
          <w:rtl/>
        </w:rPr>
        <w:t>ה העקרונית של</w:t>
      </w:r>
      <w:r w:rsidR="00FA30EF" w:rsidRPr="00B40998">
        <w:rPr>
          <w:rFonts w:ascii="David" w:hAnsi="David"/>
          <w:noProof w:val="0"/>
          <w:rtl/>
        </w:rPr>
        <w:t xml:space="preserve"> כב' הרשמת מור-אל.</w:t>
      </w:r>
    </w:p>
    <w:p w:rsidR="00740301" w:rsidRPr="00B40998" w:rsidRDefault="00A80A03" w:rsidP="00841CA5">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טענת </w:t>
      </w:r>
      <w:r w:rsidR="00B40998">
        <w:rPr>
          <w:rFonts w:ascii="David" w:hAnsi="David"/>
          <w:noProof w:val="0"/>
          <w:rtl/>
        </w:rPr>
        <w:t>המערער</w:t>
      </w:r>
      <w:r w:rsidRPr="00B40998">
        <w:rPr>
          <w:rFonts w:ascii="David" w:hAnsi="David"/>
          <w:noProof w:val="0"/>
          <w:rtl/>
        </w:rPr>
        <w:t xml:space="preserve"> בערעור הינה טענה עקרונית ורוחבית, לעמדתו התיקון של תקנה 45 לתקנות סדרי הדין משפחה מיום 19.12.22 אשר נכנס לתוקפו ביום 13.1.2023, מטרתו הייתה לבטל את האפשרות להגשת ערעור משיב על פסקי דין של בית המשפט לענייני משפחה.  </w:t>
      </w:r>
    </w:p>
    <w:p w:rsidR="00A80A03" w:rsidRPr="00B40998" w:rsidRDefault="00A80A03" w:rsidP="00841CA5">
      <w:pPr>
        <w:pStyle w:val="ad"/>
        <w:spacing w:after="180" w:line="360" w:lineRule="auto"/>
        <w:ind w:left="652"/>
        <w:contextualSpacing w:val="0"/>
        <w:jc w:val="both"/>
        <w:rPr>
          <w:rFonts w:ascii="David" w:hAnsi="David"/>
          <w:noProof w:val="0"/>
        </w:rPr>
      </w:pPr>
      <w:r w:rsidRPr="00B40998">
        <w:rPr>
          <w:rFonts w:ascii="David" w:hAnsi="David"/>
          <w:noProof w:val="0"/>
          <w:rtl/>
        </w:rPr>
        <w:t>מכאן, אין זכות ל</w:t>
      </w:r>
      <w:r w:rsidR="00B40998">
        <w:rPr>
          <w:rFonts w:ascii="David" w:hAnsi="David"/>
          <w:noProof w:val="0"/>
          <w:rtl/>
        </w:rPr>
        <w:t>משיבה</w:t>
      </w:r>
      <w:r w:rsidRPr="00B40998">
        <w:rPr>
          <w:rFonts w:ascii="David" w:hAnsi="David"/>
          <w:noProof w:val="0"/>
          <w:rtl/>
        </w:rPr>
        <w:t xml:space="preserve"> להגיש</w:t>
      </w:r>
      <w:r w:rsidR="00841CA5">
        <w:rPr>
          <w:rFonts w:ascii="David" w:hAnsi="David" w:hint="cs"/>
          <w:noProof w:val="0"/>
          <w:rtl/>
        </w:rPr>
        <w:t xml:space="preserve"> </w:t>
      </w:r>
      <w:r w:rsidRPr="00B40998">
        <w:rPr>
          <w:rFonts w:ascii="David" w:hAnsi="David"/>
          <w:noProof w:val="0"/>
          <w:rtl/>
        </w:rPr>
        <w:t xml:space="preserve">ערעור </w:t>
      </w:r>
      <w:r w:rsidR="00841CA5">
        <w:rPr>
          <w:rFonts w:ascii="David" w:hAnsi="David" w:hint="cs"/>
          <w:noProof w:val="0"/>
          <w:rtl/>
        </w:rPr>
        <w:t xml:space="preserve">משיב או ערעור שכנגד, כאשר חלף המועד להגשת ערעור מטעמה, </w:t>
      </w:r>
      <w:r w:rsidRPr="00B40998">
        <w:rPr>
          <w:rFonts w:ascii="David" w:hAnsi="David"/>
          <w:noProof w:val="0"/>
          <w:rtl/>
        </w:rPr>
        <w:t>כך שדי</w:t>
      </w:r>
      <w:r w:rsidR="00841CA5">
        <w:rPr>
          <w:rFonts w:ascii="David" w:hAnsi="David" w:hint="cs"/>
          <w:noProof w:val="0"/>
          <w:rtl/>
        </w:rPr>
        <w:t>ן הערעור של המשיבה להימחק</w:t>
      </w:r>
      <w:r w:rsidRPr="00B40998">
        <w:rPr>
          <w:rFonts w:ascii="David" w:hAnsi="David"/>
          <w:noProof w:val="0"/>
          <w:rtl/>
        </w:rPr>
        <w:t xml:space="preserve">. </w:t>
      </w:r>
    </w:p>
    <w:p w:rsidR="003632FE" w:rsidRPr="00B40998" w:rsidRDefault="00B40998" w:rsidP="00841CA5">
      <w:pPr>
        <w:pStyle w:val="ad"/>
        <w:numPr>
          <w:ilvl w:val="0"/>
          <w:numId w:val="1"/>
        </w:numPr>
        <w:spacing w:after="180" w:line="360" w:lineRule="auto"/>
        <w:ind w:left="652" w:hanging="709"/>
        <w:contextualSpacing w:val="0"/>
        <w:jc w:val="both"/>
        <w:rPr>
          <w:rFonts w:ascii="David" w:hAnsi="David"/>
          <w:noProof w:val="0"/>
        </w:rPr>
      </w:pPr>
      <w:r>
        <w:rPr>
          <w:rFonts w:ascii="David" w:hAnsi="David"/>
          <w:noProof w:val="0"/>
          <w:rtl/>
        </w:rPr>
        <w:t>המשיבה</w:t>
      </w:r>
      <w:r w:rsidR="009B488E" w:rsidRPr="00B40998">
        <w:rPr>
          <w:rFonts w:ascii="David" w:hAnsi="David"/>
          <w:noProof w:val="0"/>
          <w:rtl/>
        </w:rPr>
        <w:t xml:space="preserve"> הגישה תשובה לערעור. במסגרת התשובה היא מסבירה את הנסיבות </w:t>
      </w:r>
      <w:r w:rsidR="00841CA5">
        <w:rPr>
          <w:rFonts w:ascii="David" w:hAnsi="David" w:hint="cs"/>
          <w:noProof w:val="0"/>
          <w:rtl/>
        </w:rPr>
        <w:t xml:space="preserve">בגינן </w:t>
      </w:r>
      <w:r w:rsidR="009B488E" w:rsidRPr="00B40998">
        <w:rPr>
          <w:rFonts w:ascii="David" w:hAnsi="David"/>
          <w:noProof w:val="0"/>
          <w:rtl/>
        </w:rPr>
        <w:t>הג</w:t>
      </w:r>
      <w:r w:rsidR="00841CA5">
        <w:rPr>
          <w:rFonts w:ascii="David" w:hAnsi="David" w:hint="cs"/>
          <w:noProof w:val="0"/>
          <w:rtl/>
        </w:rPr>
        <w:t>י</w:t>
      </w:r>
      <w:r w:rsidR="009B488E" w:rsidRPr="00B40998">
        <w:rPr>
          <w:rFonts w:ascii="David" w:hAnsi="David"/>
          <w:noProof w:val="0"/>
          <w:rtl/>
        </w:rPr>
        <w:t>ש</w:t>
      </w:r>
      <w:r w:rsidR="00841CA5">
        <w:rPr>
          <w:rFonts w:ascii="David" w:hAnsi="David" w:hint="cs"/>
          <w:noProof w:val="0"/>
          <w:rtl/>
        </w:rPr>
        <w:t>ה</w:t>
      </w:r>
      <w:r w:rsidR="009B488E" w:rsidRPr="00B40998">
        <w:rPr>
          <w:rFonts w:ascii="David" w:hAnsi="David"/>
          <w:noProof w:val="0"/>
          <w:rtl/>
        </w:rPr>
        <w:t xml:space="preserve"> </w:t>
      </w:r>
      <w:r w:rsidR="00841CA5">
        <w:rPr>
          <w:rFonts w:ascii="David" w:hAnsi="David" w:hint="cs"/>
          <w:noProof w:val="0"/>
          <w:rtl/>
        </w:rPr>
        <w:t xml:space="preserve">את </w:t>
      </w:r>
      <w:r w:rsidR="009B488E" w:rsidRPr="00B40998">
        <w:rPr>
          <w:rFonts w:ascii="David" w:hAnsi="David"/>
          <w:noProof w:val="0"/>
          <w:rtl/>
        </w:rPr>
        <w:t xml:space="preserve">הערעור באיחור. עוד טוענת </w:t>
      </w:r>
      <w:r>
        <w:rPr>
          <w:rFonts w:ascii="David" w:hAnsi="David"/>
          <w:noProof w:val="0"/>
          <w:rtl/>
        </w:rPr>
        <w:t>המשיבה</w:t>
      </w:r>
      <w:r w:rsidR="00841CA5">
        <w:rPr>
          <w:rFonts w:ascii="David" w:hAnsi="David" w:hint="cs"/>
          <w:noProof w:val="0"/>
          <w:rtl/>
        </w:rPr>
        <w:t>,</w:t>
      </w:r>
      <w:r w:rsidR="009B488E" w:rsidRPr="00B40998">
        <w:rPr>
          <w:rFonts w:ascii="David" w:hAnsi="David"/>
          <w:noProof w:val="0"/>
          <w:rtl/>
        </w:rPr>
        <w:t xml:space="preserve"> כי </w:t>
      </w:r>
      <w:r w:rsidR="003632FE" w:rsidRPr="00B40998">
        <w:rPr>
          <w:rFonts w:ascii="David" w:hAnsi="David"/>
          <w:noProof w:val="0"/>
          <w:rtl/>
        </w:rPr>
        <w:t xml:space="preserve">ללא שהיה מוגש ערעור מטעם </w:t>
      </w:r>
      <w:r>
        <w:rPr>
          <w:rFonts w:ascii="David" w:hAnsi="David"/>
          <w:noProof w:val="0"/>
          <w:rtl/>
        </w:rPr>
        <w:t>המערער</w:t>
      </w:r>
      <w:r w:rsidR="00841CA5">
        <w:rPr>
          <w:rFonts w:ascii="David" w:hAnsi="David" w:hint="cs"/>
          <w:noProof w:val="0"/>
          <w:rtl/>
        </w:rPr>
        <w:t>,</w:t>
      </w:r>
      <w:r w:rsidR="003632FE" w:rsidRPr="00B40998">
        <w:rPr>
          <w:rFonts w:ascii="David" w:hAnsi="David"/>
          <w:noProof w:val="0"/>
          <w:rtl/>
        </w:rPr>
        <w:t xml:space="preserve"> </w:t>
      </w:r>
      <w:r w:rsidR="00841CA5">
        <w:rPr>
          <w:rFonts w:ascii="David" w:hAnsi="David" w:hint="cs"/>
          <w:noProof w:val="0"/>
          <w:rtl/>
        </w:rPr>
        <w:t xml:space="preserve">היא </w:t>
      </w:r>
      <w:r w:rsidR="003632FE" w:rsidRPr="00B40998">
        <w:rPr>
          <w:rFonts w:ascii="David" w:hAnsi="David"/>
          <w:noProof w:val="0"/>
          <w:rtl/>
        </w:rPr>
        <w:t xml:space="preserve">לא הייתה מגישה ערעור מטעמה (סעיף 8 לתשובה לערעור). </w:t>
      </w:r>
    </w:p>
    <w:p w:rsidR="003632FE" w:rsidRPr="00B40998" w:rsidRDefault="00B40998" w:rsidP="00D815FC">
      <w:pPr>
        <w:pStyle w:val="ad"/>
        <w:spacing w:after="180" w:line="360" w:lineRule="auto"/>
        <w:ind w:left="652"/>
        <w:contextualSpacing w:val="0"/>
        <w:jc w:val="both"/>
        <w:rPr>
          <w:rFonts w:ascii="David" w:hAnsi="David"/>
          <w:noProof w:val="0"/>
          <w:rtl/>
        </w:rPr>
      </w:pPr>
      <w:r>
        <w:rPr>
          <w:rFonts w:ascii="David" w:hAnsi="David"/>
          <w:noProof w:val="0"/>
          <w:rtl/>
        </w:rPr>
        <w:t>המשיבה</w:t>
      </w:r>
      <w:r w:rsidR="003632FE" w:rsidRPr="00B40998">
        <w:rPr>
          <w:rFonts w:ascii="David" w:hAnsi="David"/>
          <w:noProof w:val="0"/>
          <w:rtl/>
        </w:rPr>
        <w:t xml:space="preserve"> טוענת </w:t>
      </w:r>
      <w:r w:rsidR="00841CA5">
        <w:rPr>
          <w:rFonts w:ascii="David" w:hAnsi="David" w:hint="cs"/>
          <w:noProof w:val="0"/>
          <w:rtl/>
        </w:rPr>
        <w:t>עוד</w:t>
      </w:r>
      <w:r w:rsidR="00D815FC">
        <w:rPr>
          <w:rFonts w:ascii="David" w:hAnsi="David" w:hint="cs"/>
          <w:noProof w:val="0"/>
          <w:rtl/>
        </w:rPr>
        <w:t>,</w:t>
      </w:r>
      <w:r w:rsidR="00841CA5">
        <w:rPr>
          <w:rFonts w:ascii="David" w:hAnsi="David" w:hint="cs"/>
          <w:noProof w:val="0"/>
          <w:rtl/>
        </w:rPr>
        <w:t xml:space="preserve"> </w:t>
      </w:r>
      <w:r w:rsidR="003632FE" w:rsidRPr="00B40998">
        <w:rPr>
          <w:rFonts w:ascii="David" w:hAnsi="David"/>
          <w:noProof w:val="0"/>
          <w:rtl/>
        </w:rPr>
        <w:t>כי מטעמי צדק עליהם אמון בית המשפט לענייני משפחה</w:t>
      </w:r>
      <w:r w:rsidR="00D815FC">
        <w:rPr>
          <w:rFonts w:ascii="David" w:hAnsi="David" w:hint="cs"/>
          <w:noProof w:val="0"/>
          <w:rtl/>
        </w:rPr>
        <w:t xml:space="preserve"> </w:t>
      </w:r>
      <w:r w:rsidR="003632FE" w:rsidRPr="00B40998">
        <w:rPr>
          <w:rFonts w:ascii="David" w:hAnsi="David"/>
          <w:noProof w:val="0"/>
          <w:rtl/>
        </w:rPr>
        <w:t xml:space="preserve">יש לאפשר לערכאת הערעור לדון בכלל המחלוקת בין הצדדים, ואין מקום לחסום אותה מטעמים פרוצדורליים. </w:t>
      </w:r>
    </w:p>
    <w:p w:rsidR="003632FE" w:rsidRPr="00B40998" w:rsidRDefault="003632FE" w:rsidP="00841CA5">
      <w:pPr>
        <w:pStyle w:val="ad"/>
        <w:numPr>
          <w:ilvl w:val="0"/>
          <w:numId w:val="1"/>
        </w:numPr>
        <w:spacing w:after="180" w:line="360" w:lineRule="auto"/>
        <w:ind w:left="652" w:hanging="709"/>
        <w:contextualSpacing w:val="0"/>
        <w:jc w:val="both"/>
        <w:rPr>
          <w:rFonts w:ascii="David" w:hAnsi="David"/>
          <w:noProof w:val="0"/>
          <w:rtl/>
        </w:rPr>
      </w:pPr>
      <w:r w:rsidRPr="00B40998">
        <w:rPr>
          <w:rFonts w:ascii="David" w:hAnsi="David"/>
          <w:noProof w:val="0"/>
          <w:rtl/>
        </w:rPr>
        <w:t>בעניין הטענה המרכזית</w:t>
      </w:r>
      <w:r w:rsidR="00841CA5">
        <w:rPr>
          <w:rFonts w:ascii="David" w:hAnsi="David" w:hint="cs"/>
          <w:noProof w:val="0"/>
          <w:rtl/>
        </w:rPr>
        <w:t xml:space="preserve"> והעקרונית</w:t>
      </w:r>
      <w:r w:rsidRPr="00B40998">
        <w:rPr>
          <w:rFonts w:ascii="David" w:hAnsi="David"/>
          <w:noProof w:val="0"/>
          <w:rtl/>
        </w:rPr>
        <w:t xml:space="preserve"> של </w:t>
      </w:r>
      <w:r w:rsidR="00B40998">
        <w:rPr>
          <w:rFonts w:ascii="David" w:hAnsi="David"/>
          <w:noProof w:val="0"/>
          <w:rtl/>
        </w:rPr>
        <w:t>המערער</w:t>
      </w:r>
      <w:r w:rsidRPr="00B40998">
        <w:rPr>
          <w:rFonts w:ascii="David" w:hAnsi="David"/>
          <w:noProof w:val="0"/>
          <w:rtl/>
        </w:rPr>
        <w:t xml:space="preserve">, טוענת </w:t>
      </w:r>
      <w:r w:rsidR="00B40998">
        <w:rPr>
          <w:rFonts w:ascii="David" w:hAnsi="David"/>
          <w:noProof w:val="0"/>
          <w:rtl/>
        </w:rPr>
        <w:t>המשיבה</w:t>
      </w:r>
      <w:r w:rsidRPr="00B40998">
        <w:rPr>
          <w:rFonts w:ascii="David" w:hAnsi="David"/>
          <w:noProof w:val="0"/>
          <w:rtl/>
        </w:rPr>
        <w:t xml:space="preserve"> כי אין מקום לתת פרשנות מרחיקת לכת ולא סבירה לתקנות סדרי הדין משפחה, כאילו אלו מטרתן הייתה לבטל את מוסד ערעור המשיב.</w:t>
      </w:r>
    </w:p>
    <w:p w:rsidR="003632FE" w:rsidRPr="00B40998" w:rsidRDefault="003632FE" w:rsidP="00841CA5">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עוד מציינת </w:t>
      </w:r>
      <w:r w:rsidR="00B40998">
        <w:rPr>
          <w:rFonts w:ascii="David" w:hAnsi="David"/>
          <w:noProof w:val="0"/>
          <w:rtl/>
        </w:rPr>
        <w:t>המשיבה</w:t>
      </w:r>
      <w:r w:rsidR="00841CA5">
        <w:rPr>
          <w:rFonts w:ascii="David" w:hAnsi="David"/>
          <w:noProof w:val="0"/>
          <w:rtl/>
        </w:rPr>
        <w:t>, כי אין פסק דין אחד התומך בעמד</w:t>
      </w:r>
      <w:r w:rsidR="00841CA5">
        <w:rPr>
          <w:rFonts w:ascii="David" w:hAnsi="David" w:hint="cs"/>
          <w:noProof w:val="0"/>
          <w:rtl/>
        </w:rPr>
        <w:t xml:space="preserve">ת </w:t>
      </w:r>
      <w:r w:rsidR="00B40998">
        <w:rPr>
          <w:rFonts w:ascii="David" w:hAnsi="David"/>
          <w:noProof w:val="0"/>
          <w:rtl/>
        </w:rPr>
        <w:t>המערער</w:t>
      </w:r>
      <w:r w:rsidRPr="00B40998">
        <w:rPr>
          <w:rFonts w:ascii="David" w:hAnsi="David"/>
          <w:noProof w:val="0"/>
          <w:rtl/>
        </w:rPr>
        <w:t xml:space="preserve">, וכי ערעורי משיב מוגשים חדשות לבקרים לבתי המשפט המחוזיים. עוד מציינת </w:t>
      </w:r>
      <w:r w:rsidR="00B40998">
        <w:rPr>
          <w:rFonts w:ascii="David" w:hAnsi="David"/>
          <w:noProof w:val="0"/>
          <w:rtl/>
        </w:rPr>
        <w:t>המשיבה</w:t>
      </w:r>
      <w:r w:rsidRPr="00B40998">
        <w:rPr>
          <w:rFonts w:ascii="David" w:hAnsi="David"/>
          <w:noProof w:val="0"/>
          <w:rtl/>
        </w:rPr>
        <w:t xml:space="preserve"> כי גם מערכת נט המשפט מאפשרת הגשת ערעור משיב. </w:t>
      </w:r>
    </w:p>
    <w:p w:rsidR="000F4B37" w:rsidRPr="00B40998" w:rsidRDefault="00B40998" w:rsidP="00B40998">
      <w:pPr>
        <w:pStyle w:val="ad"/>
        <w:spacing w:after="180" w:line="360" w:lineRule="auto"/>
        <w:ind w:left="652"/>
        <w:contextualSpacing w:val="0"/>
        <w:jc w:val="both"/>
        <w:rPr>
          <w:rFonts w:ascii="David" w:hAnsi="David"/>
          <w:noProof w:val="0"/>
          <w:rtl/>
        </w:rPr>
      </w:pPr>
      <w:r>
        <w:rPr>
          <w:rFonts w:ascii="David" w:hAnsi="David"/>
          <w:noProof w:val="0"/>
          <w:rtl/>
        </w:rPr>
        <w:lastRenderedPageBreak/>
        <w:t>המשיבה</w:t>
      </w:r>
      <w:r w:rsidR="003632FE" w:rsidRPr="00B40998">
        <w:rPr>
          <w:rFonts w:ascii="David" w:hAnsi="David"/>
          <w:noProof w:val="0"/>
          <w:rtl/>
        </w:rPr>
        <w:t xml:space="preserve"> מוסיפה וטוענת</w:t>
      </w:r>
      <w:r w:rsidR="00B061AB">
        <w:rPr>
          <w:rFonts w:ascii="David" w:hAnsi="David" w:hint="cs"/>
          <w:noProof w:val="0"/>
          <w:rtl/>
        </w:rPr>
        <w:t>,</w:t>
      </w:r>
      <w:r w:rsidR="003632FE" w:rsidRPr="00B40998">
        <w:rPr>
          <w:rFonts w:ascii="David" w:hAnsi="David"/>
          <w:noProof w:val="0"/>
          <w:rtl/>
        </w:rPr>
        <w:t xml:space="preserve"> כי זכות הערעור הינה זכות יסוד חוקתית ולכן אין מק</w:t>
      </w:r>
      <w:r w:rsidR="00CF1EB8" w:rsidRPr="00B40998">
        <w:rPr>
          <w:rFonts w:ascii="David" w:hAnsi="David"/>
          <w:noProof w:val="0"/>
          <w:rtl/>
        </w:rPr>
        <w:t>ום לשלול אותה ב</w:t>
      </w:r>
      <w:r w:rsidR="00841CA5">
        <w:rPr>
          <w:rFonts w:ascii="David" w:hAnsi="David" w:hint="cs"/>
          <w:noProof w:val="0"/>
          <w:rtl/>
        </w:rPr>
        <w:t xml:space="preserve">אמצעות </w:t>
      </w:r>
      <w:r w:rsidR="00CF1EB8" w:rsidRPr="00B40998">
        <w:rPr>
          <w:rFonts w:ascii="David" w:hAnsi="David"/>
          <w:noProof w:val="0"/>
          <w:rtl/>
        </w:rPr>
        <w:t>תיקון התקנות או בהחלטה שיפוטית.</w:t>
      </w:r>
      <w:r w:rsidR="003632FE" w:rsidRPr="00B40998">
        <w:rPr>
          <w:rFonts w:ascii="David" w:hAnsi="David"/>
          <w:noProof w:val="0"/>
          <w:rtl/>
        </w:rPr>
        <w:t xml:space="preserve"> </w:t>
      </w:r>
    </w:p>
    <w:p w:rsidR="00CF1EB8" w:rsidRPr="00B40998" w:rsidRDefault="00B40998" w:rsidP="00D815FC">
      <w:pPr>
        <w:pStyle w:val="ad"/>
        <w:spacing w:after="180" w:line="360" w:lineRule="auto"/>
        <w:ind w:left="652"/>
        <w:contextualSpacing w:val="0"/>
        <w:jc w:val="both"/>
        <w:rPr>
          <w:rFonts w:ascii="David" w:hAnsi="David"/>
          <w:noProof w:val="0"/>
          <w:rtl/>
        </w:rPr>
      </w:pPr>
      <w:r>
        <w:rPr>
          <w:rFonts w:ascii="David" w:hAnsi="David"/>
          <w:noProof w:val="0"/>
          <w:rtl/>
        </w:rPr>
        <w:t>המשיבה</w:t>
      </w:r>
      <w:r w:rsidR="00CF1EB8" w:rsidRPr="00B40998">
        <w:rPr>
          <w:rFonts w:ascii="David" w:hAnsi="David"/>
          <w:noProof w:val="0"/>
          <w:rtl/>
        </w:rPr>
        <w:t xml:space="preserve"> מפנה לעניין זה ללשון תקנו</w:t>
      </w:r>
      <w:r w:rsidR="00D815FC">
        <w:rPr>
          <w:rFonts w:ascii="David" w:hAnsi="David" w:hint="cs"/>
          <w:noProof w:val="0"/>
          <w:rtl/>
        </w:rPr>
        <w:t>ת</w:t>
      </w:r>
      <w:r w:rsidR="00CF1EB8" w:rsidRPr="00B40998">
        <w:rPr>
          <w:rFonts w:ascii="David" w:hAnsi="David"/>
          <w:noProof w:val="0"/>
          <w:rtl/>
        </w:rPr>
        <w:t xml:space="preserve"> </w:t>
      </w:r>
      <w:r w:rsidR="00D815FC">
        <w:rPr>
          <w:rFonts w:ascii="David" w:hAnsi="David" w:hint="cs"/>
          <w:noProof w:val="0"/>
          <w:rtl/>
        </w:rPr>
        <w:t xml:space="preserve">סדרי דין משפחה </w:t>
      </w:r>
      <w:r w:rsidR="00CF1EB8" w:rsidRPr="00B40998">
        <w:rPr>
          <w:rFonts w:ascii="David" w:hAnsi="David"/>
          <w:noProof w:val="0"/>
          <w:rtl/>
        </w:rPr>
        <w:t xml:space="preserve">וכן לפסק הדין בעניין </w:t>
      </w:r>
      <w:r w:rsidR="00CF1EB8" w:rsidRPr="00B40998">
        <w:rPr>
          <w:rFonts w:ascii="David" w:hAnsi="David"/>
          <w:b/>
          <w:bCs/>
          <w:noProof w:val="0"/>
          <w:rtl/>
        </w:rPr>
        <w:t>עמ"ש 26203-06-21</w:t>
      </w:r>
      <w:r w:rsidR="00CF1EB8" w:rsidRPr="00B40998">
        <w:rPr>
          <w:rFonts w:ascii="David" w:hAnsi="David"/>
          <w:noProof w:val="0"/>
          <w:rtl/>
        </w:rPr>
        <w:t xml:space="preserve"> </w:t>
      </w:r>
      <w:r w:rsidR="0068281F" w:rsidRPr="0068281F">
        <w:rPr>
          <w:rFonts w:ascii="David" w:hAnsi="David" w:hint="cs"/>
          <w:b/>
          <w:bCs/>
          <w:noProof w:val="0"/>
          <w:rtl/>
        </w:rPr>
        <w:t xml:space="preserve">א.ב. </w:t>
      </w:r>
      <w:r w:rsidR="00CF1EB8" w:rsidRPr="00B40998">
        <w:rPr>
          <w:rFonts w:ascii="David" w:hAnsi="David"/>
          <w:noProof w:val="0"/>
          <w:rtl/>
        </w:rPr>
        <w:t>לעיל.</w:t>
      </w:r>
    </w:p>
    <w:p w:rsidR="00CF1EB8" w:rsidRPr="00B40998" w:rsidRDefault="00CF1EB8" w:rsidP="0068281F">
      <w:pPr>
        <w:pStyle w:val="ad"/>
        <w:spacing w:after="180" w:line="360" w:lineRule="auto"/>
        <w:ind w:left="652"/>
        <w:contextualSpacing w:val="0"/>
        <w:jc w:val="both"/>
        <w:rPr>
          <w:rFonts w:ascii="David" w:hAnsi="David"/>
          <w:noProof w:val="0"/>
          <w:rtl/>
        </w:rPr>
      </w:pPr>
      <w:r w:rsidRPr="00B40998">
        <w:rPr>
          <w:rFonts w:ascii="David" w:hAnsi="David"/>
          <w:noProof w:val="0"/>
          <w:rtl/>
        </w:rPr>
        <w:t>לעניין דברי ההסבר</w:t>
      </w:r>
      <w:r w:rsidR="0068281F">
        <w:rPr>
          <w:rFonts w:ascii="David" w:hAnsi="David" w:hint="cs"/>
          <w:noProof w:val="0"/>
          <w:rtl/>
        </w:rPr>
        <w:t xml:space="preserve"> לתזכיר התיקון</w:t>
      </w:r>
      <w:r w:rsidRPr="00B40998">
        <w:rPr>
          <w:rFonts w:ascii="David" w:hAnsi="David"/>
          <w:noProof w:val="0"/>
          <w:rtl/>
        </w:rPr>
        <w:t xml:space="preserve">, טוענת </w:t>
      </w:r>
      <w:r w:rsidR="00B40998">
        <w:rPr>
          <w:rFonts w:ascii="David" w:hAnsi="David"/>
          <w:noProof w:val="0"/>
          <w:rtl/>
        </w:rPr>
        <w:t>המשיבה</w:t>
      </w:r>
      <w:r w:rsidRPr="00B40998">
        <w:rPr>
          <w:rFonts w:ascii="David" w:hAnsi="David"/>
          <w:noProof w:val="0"/>
          <w:rtl/>
        </w:rPr>
        <w:t xml:space="preserve"> כי הם אינם מחייבים את בית המשפט, אלא הם בגדר כלי עזר בלבד לפרשנות התקנות. מכאן טוענת </w:t>
      </w:r>
      <w:r w:rsidR="00B40998">
        <w:rPr>
          <w:rFonts w:ascii="David" w:hAnsi="David"/>
          <w:noProof w:val="0"/>
          <w:rtl/>
        </w:rPr>
        <w:t>המשיבה</w:t>
      </w:r>
      <w:r w:rsidRPr="00B40998">
        <w:rPr>
          <w:rFonts w:ascii="David" w:hAnsi="David"/>
          <w:noProof w:val="0"/>
          <w:rtl/>
        </w:rPr>
        <w:t xml:space="preserve">, כי </w:t>
      </w:r>
      <w:r w:rsidR="0068281F">
        <w:rPr>
          <w:rFonts w:ascii="David" w:hAnsi="David" w:hint="cs"/>
          <w:noProof w:val="0"/>
          <w:rtl/>
        </w:rPr>
        <w:t xml:space="preserve">אף </w:t>
      </w:r>
      <w:r w:rsidRPr="00B40998">
        <w:rPr>
          <w:rFonts w:ascii="David" w:hAnsi="David"/>
          <w:noProof w:val="0"/>
          <w:rtl/>
        </w:rPr>
        <w:t xml:space="preserve">שכוונת מנסח </w:t>
      </w:r>
      <w:r w:rsidR="0068281F">
        <w:rPr>
          <w:rFonts w:ascii="David" w:hAnsi="David" w:hint="cs"/>
          <w:noProof w:val="0"/>
          <w:rtl/>
        </w:rPr>
        <w:t xml:space="preserve">התקנות </w:t>
      </w:r>
      <w:r w:rsidRPr="00B40998">
        <w:rPr>
          <w:rFonts w:ascii="David" w:hAnsi="David"/>
          <w:noProof w:val="0"/>
          <w:rtl/>
        </w:rPr>
        <w:t xml:space="preserve">הייתה לכאורה לבטל את מוסד </w:t>
      </w:r>
      <w:r w:rsidR="0068281F">
        <w:rPr>
          <w:rFonts w:ascii="David" w:hAnsi="David" w:hint="cs"/>
          <w:noProof w:val="0"/>
          <w:rtl/>
        </w:rPr>
        <w:t>ערעור המשיב</w:t>
      </w:r>
      <w:r w:rsidRPr="00B40998">
        <w:rPr>
          <w:rFonts w:ascii="David" w:hAnsi="David"/>
          <w:noProof w:val="0"/>
          <w:rtl/>
        </w:rPr>
        <w:t xml:space="preserve"> בערעורי משפחה, הרי הטעמים למהלך זה שגויים, מעידים על חוסר הבנה, ועל בית המשפט לתת פרשנות שונה.</w:t>
      </w:r>
    </w:p>
    <w:p w:rsidR="00CF1EB8" w:rsidRPr="00B40998" w:rsidRDefault="00CF1EB8" w:rsidP="0068281F">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לטעמה של </w:t>
      </w:r>
      <w:r w:rsidR="00B40998">
        <w:rPr>
          <w:rFonts w:ascii="David" w:hAnsi="David"/>
          <w:noProof w:val="0"/>
          <w:rtl/>
        </w:rPr>
        <w:t>המשיבה</w:t>
      </w:r>
      <w:r w:rsidRPr="00B40998">
        <w:rPr>
          <w:rFonts w:ascii="David" w:hAnsi="David"/>
          <w:noProof w:val="0"/>
          <w:rtl/>
        </w:rPr>
        <w:t>, הפרשנות הראויה והנכונה הינה</w:t>
      </w:r>
      <w:r w:rsidR="00B061AB">
        <w:rPr>
          <w:rFonts w:ascii="David" w:hAnsi="David" w:hint="cs"/>
          <w:noProof w:val="0"/>
          <w:rtl/>
        </w:rPr>
        <w:t>,</w:t>
      </w:r>
      <w:r w:rsidRPr="00B40998">
        <w:rPr>
          <w:rFonts w:ascii="David" w:hAnsi="David"/>
          <w:noProof w:val="0"/>
          <w:rtl/>
        </w:rPr>
        <w:t xml:space="preserve"> כי תיקון תקנה 45 </w:t>
      </w:r>
      <w:r w:rsidR="0068281F">
        <w:rPr>
          <w:rFonts w:ascii="David" w:hAnsi="David" w:hint="cs"/>
          <w:noProof w:val="0"/>
          <w:rtl/>
        </w:rPr>
        <w:t xml:space="preserve">במסגרת תיקון 2022 </w:t>
      </w:r>
      <w:r w:rsidRPr="00B40998">
        <w:rPr>
          <w:rFonts w:ascii="David" w:hAnsi="David"/>
          <w:noProof w:val="0"/>
          <w:rtl/>
        </w:rPr>
        <w:t>מטרתו האחת והיחידה הינה להשוות את המועד ל</w:t>
      </w:r>
      <w:r w:rsidR="00893864" w:rsidRPr="00B40998">
        <w:rPr>
          <w:rFonts w:ascii="David" w:hAnsi="David"/>
          <w:noProof w:val="0"/>
          <w:rtl/>
        </w:rPr>
        <w:t>הגשת ערעור משיב למועד להגשת ערעור ראשי,</w:t>
      </w:r>
      <w:r w:rsidR="0068281F">
        <w:rPr>
          <w:rFonts w:ascii="David" w:hAnsi="David" w:hint="cs"/>
          <w:noProof w:val="0"/>
          <w:rtl/>
        </w:rPr>
        <w:t xml:space="preserve"> קרי</w:t>
      </w:r>
      <w:r w:rsidR="00893864" w:rsidRPr="00B40998">
        <w:rPr>
          <w:rFonts w:ascii="David" w:hAnsi="David"/>
          <w:noProof w:val="0"/>
          <w:rtl/>
        </w:rPr>
        <w:t xml:space="preserve"> 45 ימים, ולא לבטלו.</w:t>
      </w:r>
    </w:p>
    <w:p w:rsidR="00893864" w:rsidRPr="00B40998" w:rsidRDefault="00893864" w:rsidP="0068281F">
      <w:pPr>
        <w:pStyle w:val="ad"/>
        <w:numPr>
          <w:ilvl w:val="0"/>
          <w:numId w:val="1"/>
        </w:numPr>
        <w:spacing w:after="180" w:line="360" w:lineRule="auto"/>
        <w:ind w:left="652" w:hanging="709"/>
        <w:contextualSpacing w:val="0"/>
        <w:jc w:val="both"/>
        <w:rPr>
          <w:rFonts w:ascii="David" w:hAnsi="David"/>
          <w:noProof w:val="0"/>
          <w:rtl/>
        </w:rPr>
      </w:pPr>
      <w:r w:rsidRPr="00B40998">
        <w:rPr>
          <w:rFonts w:ascii="David" w:hAnsi="David"/>
          <w:noProof w:val="0"/>
          <w:rtl/>
        </w:rPr>
        <w:t>לאור חשיבות הסוגיה, קבע</w:t>
      </w:r>
      <w:r w:rsidR="0068281F">
        <w:rPr>
          <w:rFonts w:ascii="David" w:hAnsi="David" w:hint="cs"/>
          <w:noProof w:val="0"/>
          <w:rtl/>
        </w:rPr>
        <w:t>תי</w:t>
      </w:r>
      <w:r w:rsidRPr="00B40998">
        <w:rPr>
          <w:rFonts w:ascii="David" w:hAnsi="David"/>
          <w:noProof w:val="0"/>
          <w:rtl/>
        </w:rPr>
        <w:t xml:space="preserve"> דיון במע</w:t>
      </w:r>
      <w:r w:rsidR="0068281F">
        <w:rPr>
          <w:rFonts w:ascii="David" w:hAnsi="David" w:hint="cs"/>
          <w:noProof w:val="0"/>
          <w:rtl/>
        </w:rPr>
        <w:t>מ</w:t>
      </w:r>
      <w:r w:rsidRPr="00B40998">
        <w:rPr>
          <w:rFonts w:ascii="David" w:hAnsi="David"/>
          <w:noProof w:val="0"/>
          <w:rtl/>
        </w:rPr>
        <w:t>ד הצדדים, וביום 27.8.2023 נשמעה השלמת טיעון בעל פה מטעם הצדדים.</w:t>
      </w:r>
    </w:p>
    <w:p w:rsidR="00893864" w:rsidRPr="00B40998" w:rsidRDefault="00893864" w:rsidP="00B40998">
      <w:pPr>
        <w:spacing w:after="180" w:line="360" w:lineRule="auto"/>
        <w:jc w:val="both"/>
        <w:rPr>
          <w:rFonts w:ascii="David" w:hAnsi="David"/>
          <w:b/>
          <w:bCs/>
          <w:noProof w:val="0"/>
          <w:u w:val="single"/>
          <w:rtl/>
        </w:rPr>
      </w:pPr>
      <w:r w:rsidRPr="00B40998">
        <w:rPr>
          <w:rFonts w:ascii="David" w:hAnsi="David"/>
          <w:b/>
          <w:bCs/>
          <w:noProof w:val="0"/>
          <w:u w:val="single"/>
          <w:rtl/>
        </w:rPr>
        <w:t>דיון והכרעה</w:t>
      </w:r>
    </w:p>
    <w:p w:rsidR="000F41B9" w:rsidRPr="00B40998" w:rsidRDefault="000F41B9" w:rsidP="00B40998">
      <w:pPr>
        <w:spacing w:after="180" w:line="360" w:lineRule="auto"/>
        <w:jc w:val="both"/>
        <w:rPr>
          <w:rFonts w:ascii="David" w:hAnsi="David"/>
          <w:b/>
          <w:bCs/>
          <w:noProof w:val="0"/>
          <w:u w:val="single"/>
        </w:rPr>
      </w:pPr>
      <w:r w:rsidRPr="00B40998">
        <w:rPr>
          <w:rFonts w:ascii="David" w:hAnsi="David"/>
          <w:b/>
          <w:bCs/>
          <w:noProof w:val="0"/>
          <w:u w:val="single"/>
          <w:rtl/>
        </w:rPr>
        <w:t>מיקוד המחלוקת</w:t>
      </w:r>
    </w:p>
    <w:p w:rsidR="006372D6" w:rsidRPr="00B40998" w:rsidRDefault="006372D6" w:rsidP="0068281F">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לאחר שעיינתי בהחלטת כב' הרשמת מור-אל ובטענות הצדדים, אני סבור כי הנושא היחיד אליו יש להידרש בפסק דין </w:t>
      </w:r>
      <w:r w:rsidR="00D815FC">
        <w:rPr>
          <w:rFonts w:ascii="David" w:hAnsi="David" w:hint="cs"/>
          <w:noProof w:val="0"/>
          <w:rtl/>
        </w:rPr>
        <w:t xml:space="preserve">זה </w:t>
      </w:r>
      <w:r w:rsidRPr="00B40998">
        <w:rPr>
          <w:rFonts w:ascii="David" w:hAnsi="David"/>
          <w:noProof w:val="0"/>
          <w:rtl/>
        </w:rPr>
        <w:t xml:space="preserve">הינה השאלה העקרונית </w:t>
      </w:r>
      <w:r w:rsidR="00D815FC">
        <w:rPr>
          <w:rFonts w:ascii="David" w:hAnsi="David" w:hint="cs"/>
          <w:noProof w:val="0"/>
          <w:rtl/>
        </w:rPr>
        <w:t xml:space="preserve">- </w:t>
      </w:r>
      <w:r w:rsidRPr="00B40998">
        <w:rPr>
          <w:rFonts w:ascii="David" w:hAnsi="David"/>
          <w:noProof w:val="0"/>
          <w:rtl/>
        </w:rPr>
        <w:t xml:space="preserve">האם תיקון </w:t>
      </w:r>
      <w:r w:rsidR="0068281F">
        <w:rPr>
          <w:rFonts w:ascii="David" w:hAnsi="David" w:hint="cs"/>
          <w:noProof w:val="0"/>
          <w:rtl/>
        </w:rPr>
        <w:t>2022</w:t>
      </w:r>
      <w:r w:rsidRPr="00B40998">
        <w:rPr>
          <w:rFonts w:ascii="David" w:hAnsi="David"/>
          <w:noProof w:val="0"/>
          <w:rtl/>
        </w:rPr>
        <w:t xml:space="preserve"> לתקנות סדרי הדין משפחה ביטל, או לא ביטל, את מוסד ערעור המשיב.</w:t>
      </w:r>
    </w:p>
    <w:p w:rsidR="003E1913" w:rsidRPr="00B40998" w:rsidRDefault="006372D6" w:rsidP="00D815FC">
      <w:pPr>
        <w:pStyle w:val="ad"/>
        <w:spacing w:after="180" w:line="360" w:lineRule="auto"/>
        <w:ind w:left="652"/>
        <w:contextualSpacing w:val="0"/>
        <w:jc w:val="both"/>
        <w:rPr>
          <w:rFonts w:ascii="David" w:hAnsi="David"/>
          <w:noProof w:val="0"/>
        </w:rPr>
      </w:pPr>
      <w:r w:rsidRPr="00B40998">
        <w:rPr>
          <w:rFonts w:ascii="David" w:hAnsi="David"/>
          <w:noProof w:val="0"/>
          <w:rtl/>
        </w:rPr>
        <w:t>כך, ככל שאקבע כי תיקון זה לא ביטל את מוסד ערעור המשיב</w:t>
      </w:r>
      <w:r w:rsidR="0068281F">
        <w:rPr>
          <w:rFonts w:ascii="David" w:hAnsi="David" w:hint="cs"/>
          <w:noProof w:val="0"/>
          <w:rtl/>
        </w:rPr>
        <w:t xml:space="preserve"> בענייני משפחה</w:t>
      </w:r>
      <w:r w:rsidRPr="00B40998">
        <w:rPr>
          <w:rFonts w:ascii="David" w:hAnsi="David"/>
          <w:noProof w:val="0"/>
          <w:rtl/>
        </w:rPr>
        <w:t xml:space="preserve">, הרי אין מחלוקת כי ערעור המשיב מטעם </w:t>
      </w:r>
      <w:r w:rsidR="00B40998">
        <w:rPr>
          <w:rFonts w:ascii="David" w:hAnsi="David"/>
          <w:noProof w:val="0"/>
          <w:rtl/>
        </w:rPr>
        <w:t>המשיבה</w:t>
      </w:r>
      <w:r w:rsidRPr="00B40998">
        <w:rPr>
          <w:rFonts w:ascii="David" w:hAnsi="David"/>
          <w:noProof w:val="0"/>
          <w:rtl/>
        </w:rPr>
        <w:t xml:space="preserve"> הוגש במסגרת לוח הזמנים המותר להגשתו, כך שדין</w:t>
      </w:r>
      <w:r w:rsidR="003E1913" w:rsidRPr="00B40998">
        <w:rPr>
          <w:rFonts w:ascii="David" w:hAnsi="David"/>
          <w:noProof w:val="0"/>
          <w:rtl/>
        </w:rPr>
        <w:t xml:space="preserve"> הערעור שלפני להידחות.</w:t>
      </w:r>
    </w:p>
    <w:p w:rsidR="003E1913" w:rsidRPr="00B40998" w:rsidRDefault="003E1913" w:rsidP="0068281F">
      <w:pPr>
        <w:pStyle w:val="ad"/>
        <w:spacing w:after="180" w:line="360" w:lineRule="auto"/>
        <w:ind w:left="652"/>
        <w:contextualSpacing w:val="0"/>
        <w:jc w:val="both"/>
        <w:rPr>
          <w:rFonts w:ascii="David" w:hAnsi="David"/>
          <w:noProof w:val="0"/>
        </w:rPr>
      </w:pPr>
      <w:r w:rsidRPr="00B40998">
        <w:rPr>
          <w:rFonts w:ascii="David" w:hAnsi="David"/>
          <w:noProof w:val="0"/>
          <w:rtl/>
        </w:rPr>
        <w:t xml:space="preserve">מצד שני, ככל שאקבע כי תיקון </w:t>
      </w:r>
      <w:r w:rsidR="0068281F">
        <w:rPr>
          <w:rFonts w:ascii="David" w:hAnsi="David" w:hint="cs"/>
          <w:noProof w:val="0"/>
          <w:rtl/>
        </w:rPr>
        <w:t xml:space="preserve">2022 </w:t>
      </w:r>
      <w:r w:rsidRPr="00B40998">
        <w:rPr>
          <w:rFonts w:ascii="David" w:hAnsi="David"/>
          <w:noProof w:val="0"/>
          <w:rtl/>
        </w:rPr>
        <w:t xml:space="preserve">ביטל את מוסד ערעור המשיב </w:t>
      </w:r>
      <w:r w:rsidR="0068281F">
        <w:rPr>
          <w:rFonts w:ascii="David" w:hAnsi="David" w:hint="cs"/>
          <w:noProof w:val="0"/>
          <w:rtl/>
        </w:rPr>
        <w:t>ב</w:t>
      </w:r>
      <w:r w:rsidRPr="00B40998">
        <w:rPr>
          <w:rFonts w:ascii="David" w:hAnsi="David"/>
          <w:noProof w:val="0"/>
          <w:rtl/>
        </w:rPr>
        <w:t xml:space="preserve">ענייני משפחה, הרי דין הערעור שלפניי להתקבל ודין ערעור המשיב מטעם </w:t>
      </w:r>
      <w:r w:rsidR="00B40998">
        <w:rPr>
          <w:rFonts w:ascii="David" w:hAnsi="David"/>
          <w:noProof w:val="0"/>
          <w:rtl/>
        </w:rPr>
        <w:t>המשיבה</w:t>
      </w:r>
      <w:r w:rsidRPr="00B40998">
        <w:rPr>
          <w:rFonts w:ascii="David" w:hAnsi="David"/>
          <w:noProof w:val="0"/>
          <w:rtl/>
        </w:rPr>
        <w:t xml:space="preserve"> להימחק.</w:t>
      </w:r>
    </w:p>
    <w:p w:rsidR="003E1913" w:rsidRPr="00B40998" w:rsidRDefault="003E1913"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אציין לעניין זה, </w:t>
      </w:r>
      <w:r w:rsidR="000A780A">
        <w:rPr>
          <w:rFonts w:ascii="David" w:hAnsi="David" w:hint="cs"/>
          <w:noProof w:val="0"/>
          <w:rtl/>
        </w:rPr>
        <w:t xml:space="preserve">וכפי שארחיב בהמשך, </w:t>
      </w:r>
      <w:r w:rsidRPr="00B40998">
        <w:rPr>
          <w:rFonts w:ascii="David" w:hAnsi="David"/>
          <w:noProof w:val="0"/>
          <w:rtl/>
        </w:rPr>
        <w:t xml:space="preserve">כי טענות </w:t>
      </w:r>
      <w:r w:rsidR="00B40998">
        <w:rPr>
          <w:rFonts w:ascii="David" w:hAnsi="David"/>
          <w:noProof w:val="0"/>
          <w:rtl/>
        </w:rPr>
        <w:t>המשיבה</w:t>
      </w:r>
      <w:r w:rsidRPr="00B40998">
        <w:rPr>
          <w:rFonts w:ascii="David" w:hAnsi="David"/>
          <w:noProof w:val="0"/>
          <w:rtl/>
        </w:rPr>
        <w:t xml:space="preserve"> במישור תום הלב או מישור הצדק הראוי, אינן רלוונטיות, היות </w:t>
      </w:r>
      <w:r w:rsidRPr="00B40998">
        <w:rPr>
          <w:rFonts w:ascii="David" w:hAnsi="David"/>
          <w:b/>
          <w:bCs/>
          <w:noProof w:val="0"/>
          <w:rtl/>
        </w:rPr>
        <w:t xml:space="preserve">ולא הייתה </w:t>
      </w:r>
      <w:r w:rsidRPr="00B40998">
        <w:rPr>
          <w:rFonts w:ascii="David" w:hAnsi="David"/>
          <w:noProof w:val="0"/>
          <w:rtl/>
        </w:rPr>
        <w:t>לפני כב' הרשמת מור-אל</w:t>
      </w:r>
      <w:r w:rsidRPr="00B40998">
        <w:rPr>
          <w:rFonts w:ascii="David" w:hAnsi="David"/>
          <w:b/>
          <w:bCs/>
          <w:noProof w:val="0"/>
          <w:rtl/>
        </w:rPr>
        <w:t xml:space="preserve"> ואין</w:t>
      </w:r>
      <w:r w:rsidRPr="00B40998">
        <w:rPr>
          <w:rFonts w:ascii="David" w:hAnsi="David"/>
          <w:noProof w:val="0"/>
          <w:rtl/>
        </w:rPr>
        <w:t xml:space="preserve"> לפני בקשה ל</w:t>
      </w:r>
      <w:r w:rsidR="000A780A">
        <w:rPr>
          <w:rFonts w:ascii="David" w:hAnsi="David" w:hint="cs"/>
          <w:noProof w:val="0"/>
          <w:rtl/>
        </w:rPr>
        <w:t>ה</w:t>
      </w:r>
      <w:r w:rsidRPr="00B40998">
        <w:rPr>
          <w:rFonts w:ascii="David" w:hAnsi="David"/>
          <w:noProof w:val="0"/>
          <w:rtl/>
        </w:rPr>
        <w:t xml:space="preserve">ארכת מועד להגשת ערעור במסגרתה ניתן לשקול שאלות אלו ואחרות, אלא רק בקשה למחיקת </w:t>
      </w:r>
      <w:r w:rsidR="0068281F">
        <w:rPr>
          <w:rFonts w:ascii="David" w:hAnsi="David" w:hint="cs"/>
          <w:noProof w:val="0"/>
          <w:rtl/>
        </w:rPr>
        <w:t>ה</w:t>
      </w:r>
      <w:r w:rsidRPr="00B40998">
        <w:rPr>
          <w:rFonts w:ascii="David" w:hAnsi="David"/>
          <w:noProof w:val="0"/>
          <w:rtl/>
        </w:rPr>
        <w:t xml:space="preserve">ערעור אשר לטענת </w:t>
      </w:r>
      <w:r w:rsidR="00B40998">
        <w:rPr>
          <w:rFonts w:ascii="David" w:hAnsi="David"/>
          <w:noProof w:val="0"/>
          <w:rtl/>
        </w:rPr>
        <w:t>המערער</w:t>
      </w:r>
      <w:r w:rsidRPr="00B40998">
        <w:rPr>
          <w:rFonts w:ascii="David" w:hAnsi="David"/>
          <w:noProof w:val="0"/>
          <w:rtl/>
        </w:rPr>
        <w:t xml:space="preserve"> אין זכות להגישו</w:t>
      </w:r>
      <w:r w:rsidR="0068281F">
        <w:rPr>
          <w:rFonts w:ascii="David" w:hAnsi="David" w:hint="cs"/>
          <w:noProof w:val="0"/>
          <w:rtl/>
        </w:rPr>
        <w:t xml:space="preserve"> במועד שהוגש</w:t>
      </w:r>
      <w:r w:rsidRPr="00B40998">
        <w:rPr>
          <w:rFonts w:ascii="David" w:hAnsi="David"/>
          <w:noProof w:val="0"/>
          <w:rtl/>
        </w:rPr>
        <w:t xml:space="preserve">. </w:t>
      </w:r>
    </w:p>
    <w:p w:rsidR="003E1913" w:rsidRPr="00B40998" w:rsidRDefault="003E1913" w:rsidP="0068281F">
      <w:pPr>
        <w:pStyle w:val="ad"/>
        <w:spacing w:after="180" w:line="360" w:lineRule="auto"/>
        <w:ind w:left="652"/>
        <w:contextualSpacing w:val="0"/>
        <w:jc w:val="both"/>
        <w:rPr>
          <w:rFonts w:ascii="David" w:hAnsi="David"/>
          <w:noProof w:val="0"/>
        </w:rPr>
      </w:pPr>
      <w:r w:rsidRPr="00B40998">
        <w:rPr>
          <w:rFonts w:ascii="David" w:hAnsi="David"/>
          <w:noProof w:val="0"/>
          <w:rtl/>
        </w:rPr>
        <w:lastRenderedPageBreak/>
        <w:t xml:space="preserve">מכאן, ככל שייקבע כי תיקון </w:t>
      </w:r>
      <w:r w:rsidR="0068281F">
        <w:rPr>
          <w:rFonts w:ascii="David" w:hAnsi="David" w:hint="cs"/>
          <w:noProof w:val="0"/>
          <w:rtl/>
        </w:rPr>
        <w:t xml:space="preserve">2022 </w:t>
      </w:r>
      <w:r w:rsidRPr="00B40998">
        <w:rPr>
          <w:rFonts w:ascii="David" w:hAnsi="David"/>
          <w:noProof w:val="0"/>
          <w:rtl/>
        </w:rPr>
        <w:t>שלל את הזכות להגש</w:t>
      </w:r>
      <w:r w:rsidR="0068281F">
        <w:rPr>
          <w:rFonts w:ascii="David" w:hAnsi="David" w:hint="cs"/>
          <w:noProof w:val="0"/>
          <w:rtl/>
        </w:rPr>
        <w:t>ת</w:t>
      </w:r>
      <w:r w:rsidRPr="00B40998">
        <w:rPr>
          <w:rFonts w:ascii="David" w:hAnsi="David"/>
          <w:noProof w:val="0"/>
          <w:rtl/>
        </w:rPr>
        <w:t xml:space="preserve"> ערעור משיב, הרי המשמע</w:t>
      </w:r>
      <w:r w:rsidR="00250552">
        <w:rPr>
          <w:rFonts w:ascii="David" w:hAnsi="David" w:hint="cs"/>
          <w:noProof w:val="0"/>
          <w:rtl/>
        </w:rPr>
        <w:t>ו</w:t>
      </w:r>
      <w:r w:rsidRPr="00B40998">
        <w:rPr>
          <w:rFonts w:ascii="David" w:hAnsi="David"/>
          <w:noProof w:val="0"/>
          <w:rtl/>
        </w:rPr>
        <w:t xml:space="preserve">ת הינה מחיקת ערעור </w:t>
      </w:r>
      <w:r w:rsidR="00B40998">
        <w:rPr>
          <w:rFonts w:ascii="David" w:hAnsi="David"/>
          <w:noProof w:val="0"/>
          <w:rtl/>
        </w:rPr>
        <w:t>המשיבה</w:t>
      </w:r>
      <w:r w:rsidRPr="00B40998">
        <w:rPr>
          <w:rFonts w:ascii="David" w:hAnsi="David"/>
          <w:noProof w:val="0"/>
          <w:rtl/>
        </w:rPr>
        <w:t xml:space="preserve">. </w:t>
      </w:r>
    </w:p>
    <w:p w:rsidR="005407E0" w:rsidRPr="00B40998" w:rsidRDefault="003E1913" w:rsidP="000A780A">
      <w:pPr>
        <w:pStyle w:val="ad"/>
        <w:numPr>
          <w:ilvl w:val="0"/>
          <w:numId w:val="1"/>
        </w:numPr>
        <w:spacing w:after="180" w:line="360" w:lineRule="auto"/>
        <w:ind w:left="652" w:hanging="709"/>
        <w:contextualSpacing w:val="0"/>
        <w:jc w:val="both"/>
        <w:rPr>
          <w:rFonts w:ascii="David" w:hAnsi="David"/>
          <w:b/>
          <w:bCs/>
          <w:noProof w:val="0"/>
        </w:rPr>
      </w:pPr>
      <w:r w:rsidRPr="00B40998">
        <w:rPr>
          <w:rFonts w:ascii="David" w:hAnsi="David"/>
          <w:noProof w:val="0"/>
          <w:rtl/>
        </w:rPr>
        <w:t>למען הסר ספק אבהיר</w:t>
      </w:r>
      <w:r w:rsidR="00250552">
        <w:rPr>
          <w:rFonts w:ascii="David" w:hAnsi="David" w:hint="cs"/>
          <w:noProof w:val="0"/>
          <w:rtl/>
        </w:rPr>
        <w:t>,</w:t>
      </w:r>
      <w:r w:rsidRPr="00B40998">
        <w:rPr>
          <w:rFonts w:ascii="David" w:hAnsi="David"/>
          <w:noProof w:val="0"/>
          <w:rtl/>
        </w:rPr>
        <w:t xml:space="preserve"> כי גם החלטת כב' הרשם יעקב שקד מיום  2.7</w:t>
      </w:r>
      <w:r w:rsidR="005407E0" w:rsidRPr="00B40998">
        <w:rPr>
          <w:rFonts w:ascii="David" w:hAnsi="David"/>
          <w:noProof w:val="0"/>
          <w:rtl/>
        </w:rPr>
        <w:t>.2023 אינה רלוונטית לערעור שלפניי. אכן נרשם בה</w:t>
      </w:r>
      <w:r w:rsidR="0068281F">
        <w:rPr>
          <w:rFonts w:ascii="David" w:hAnsi="David" w:hint="cs"/>
          <w:noProof w:val="0"/>
          <w:rtl/>
        </w:rPr>
        <w:t>,</w:t>
      </w:r>
      <w:r w:rsidR="005407E0" w:rsidRPr="00B40998">
        <w:rPr>
          <w:rFonts w:ascii="David" w:hAnsi="David"/>
          <w:noProof w:val="0"/>
          <w:rtl/>
        </w:rPr>
        <w:t xml:space="preserve"> כי אם חפצה </w:t>
      </w:r>
      <w:r w:rsidR="00B40998">
        <w:rPr>
          <w:rFonts w:ascii="David" w:hAnsi="David"/>
          <w:noProof w:val="0"/>
          <w:rtl/>
        </w:rPr>
        <w:t>המשיבה</w:t>
      </w:r>
      <w:r w:rsidR="005407E0" w:rsidRPr="00B40998">
        <w:rPr>
          <w:rFonts w:ascii="David" w:hAnsi="David"/>
          <w:noProof w:val="0"/>
          <w:rtl/>
        </w:rPr>
        <w:t xml:space="preserve"> להגיש ערעור שכנגד בתיק ערעור </w:t>
      </w:r>
      <w:r w:rsidR="00B40998">
        <w:rPr>
          <w:rFonts w:ascii="David" w:hAnsi="David"/>
          <w:noProof w:val="0"/>
          <w:rtl/>
        </w:rPr>
        <w:t>המערער</w:t>
      </w:r>
      <w:r w:rsidR="005407E0" w:rsidRPr="00B40998">
        <w:rPr>
          <w:rFonts w:ascii="David" w:hAnsi="David"/>
          <w:noProof w:val="0"/>
          <w:rtl/>
        </w:rPr>
        <w:t xml:space="preserve"> "תעשה כן", אולם כב' הרשם </w:t>
      </w:r>
      <w:r w:rsidR="000A780A">
        <w:rPr>
          <w:rFonts w:ascii="David" w:hAnsi="David" w:hint="cs"/>
          <w:noProof w:val="0"/>
          <w:rtl/>
        </w:rPr>
        <w:t xml:space="preserve">שקד </w:t>
      </w:r>
      <w:r w:rsidR="005407E0" w:rsidRPr="00B40998">
        <w:rPr>
          <w:rFonts w:ascii="David" w:hAnsi="David"/>
          <w:noProof w:val="0"/>
          <w:rtl/>
        </w:rPr>
        <w:t>הבהיר: "..</w:t>
      </w:r>
      <w:r w:rsidR="005407E0" w:rsidRPr="00B40998">
        <w:rPr>
          <w:rFonts w:ascii="David" w:hAnsi="David"/>
          <w:b/>
          <w:bCs/>
          <w:noProof w:val="0"/>
          <w:rtl/>
        </w:rPr>
        <w:t>.</w:t>
      </w:r>
      <w:r w:rsidR="000A780A">
        <w:rPr>
          <w:rFonts w:ascii="David" w:hAnsi="David" w:hint="cs"/>
          <w:b/>
          <w:bCs/>
          <w:noProof w:val="0"/>
          <w:rtl/>
        </w:rPr>
        <w:t>ו</w:t>
      </w:r>
      <w:r w:rsidR="005407E0" w:rsidRPr="00B40998">
        <w:rPr>
          <w:rFonts w:ascii="David" w:hAnsi="David"/>
          <w:b/>
          <w:bCs/>
          <w:noProof w:val="0"/>
          <w:rtl/>
        </w:rPr>
        <w:t xml:space="preserve">איני קובע דבר בענין זה...". </w:t>
      </w:r>
      <w:r w:rsidR="005407E0" w:rsidRPr="00B40998">
        <w:rPr>
          <w:rFonts w:ascii="David" w:hAnsi="David"/>
          <w:noProof w:val="0"/>
          <w:rtl/>
        </w:rPr>
        <w:t xml:space="preserve">כלומר, כב' הרשם </w:t>
      </w:r>
      <w:r w:rsidR="0068281F">
        <w:rPr>
          <w:rFonts w:ascii="David" w:hAnsi="David" w:hint="cs"/>
          <w:noProof w:val="0"/>
          <w:rtl/>
        </w:rPr>
        <w:t xml:space="preserve">שקד </w:t>
      </w:r>
      <w:r w:rsidR="005407E0" w:rsidRPr="00B40998">
        <w:rPr>
          <w:rFonts w:ascii="David" w:hAnsi="David"/>
          <w:noProof w:val="0"/>
          <w:rtl/>
        </w:rPr>
        <w:t>לא הביע את עמדתו</w:t>
      </w:r>
      <w:r w:rsidR="000A780A">
        <w:rPr>
          <w:rFonts w:ascii="David" w:hAnsi="David" w:hint="cs"/>
          <w:noProof w:val="0"/>
          <w:rtl/>
        </w:rPr>
        <w:t xml:space="preserve"> במחלוקת</w:t>
      </w:r>
      <w:r w:rsidR="005407E0" w:rsidRPr="00B40998">
        <w:rPr>
          <w:rFonts w:ascii="David" w:hAnsi="David"/>
          <w:noProof w:val="0"/>
          <w:rtl/>
        </w:rPr>
        <w:t>, וממילא לא החליט כי קיימת</w:t>
      </w:r>
      <w:r w:rsidR="000A780A">
        <w:rPr>
          <w:rFonts w:ascii="David" w:hAnsi="David" w:hint="cs"/>
          <w:noProof w:val="0"/>
          <w:rtl/>
        </w:rPr>
        <w:t>, או אינה קיימת,</w:t>
      </w:r>
      <w:r w:rsidR="005407E0" w:rsidRPr="00B40998">
        <w:rPr>
          <w:rFonts w:ascii="David" w:hAnsi="David"/>
          <w:noProof w:val="0"/>
          <w:rtl/>
        </w:rPr>
        <w:t xml:space="preserve"> זכות להגשת ערעור שכנגד או ערעור משיב. </w:t>
      </w:r>
    </w:p>
    <w:p w:rsidR="00893864" w:rsidRPr="00B40998" w:rsidRDefault="005407E0" w:rsidP="0070103A">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לפיכך, השאלה שלפניי הינה שאלה עקרונית ורוחבית</w:t>
      </w:r>
      <w:r w:rsidR="0068281F">
        <w:rPr>
          <w:rFonts w:ascii="David" w:hAnsi="David" w:hint="cs"/>
          <w:noProof w:val="0"/>
          <w:rtl/>
        </w:rPr>
        <w:t xml:space="preserve"> -</w:t>
      </w:r>
      <w:r w:rsidRPr="00B40998">
        <w:rPr>
          <w:rFonts w:ascii="David" w:hAnsi="David"/>
          <w:noProof w:val="0"/>
          <w:rtl/>
        </w:rPr>
        <w:t xml:space="preserve"> האם תיקון </w:t>
      </w:r>
      <w:r w:rsidR="0068281F">
        <w:rPr>
          <w:rFonts w:ascii="David" w:hAnsi="David" w:hint="cs"/>
          <w:noProof w:val="0"/>
          <w:rtl/>
        </w:rPr>
        <w:t xml:space="preserve">2022 </w:t>
      </w:r>
      <w:r w:rsidRPr="00B40998">
        <w:rPr>
          <w:rFonts w:ascii="David" w:hAnsi="David"/>
          <w:noProof w:val="0"/>
          <w:rtl/>
        </w:rPr>
        <w:t>שלל את הזכות להגשת ערעור משיב על פסקי דין של בית המשפט לענייני משפחה</w:t>
      </w:r>
      <w:r w:rsidR="0068281F">
        <w:rPr>
          <w:rFonts w:ascii="David" w:hAnsi="David" w:hint="cs"/>
          <w:noProof w:val="0"/>
          <w:rtl/>
        </w:rPr>
        <w:t>,</w:t>
      </w:r>
      <w:r w:rsidRPr="00B40998">
        <w:rPr>
          <w:rFonts w:ascii="David" w:hAnsi="David"/>
          <w:noProof w:val="0"/>
          <w:rtl/>
        </w:rPr>
        <w:t xml:space="preserve"> או שמא </w:t>
      </w:r>
      <w:r w:rsidR="0068281F">
        <w:rPr>
          <w:rFonts w:ascii="David" w:hAnsi="David" w:hint="cs"/>
          <w:noProof w:val="0"/>
          <w:rtl/>
        </w:rPr>
        <w:t>זה</w:t>
      </w:r>
      <w:r w:rsidR="0070103A">
        <w:rPr>
          <w:rFonts w:ascii="David" w:hAnsi="David" w:hint="cs"/>
          <w:noProof w:val="0"/>
          <w:rtl/>
        </w:rPr>
        <w:t xml:space="preserve"> רק קבע</w:t>
      </w:r>
      <w:r w:rsidRPr="00B40998">
        <w:rPr>
          <w:rFonts w:ascii="David" w:hAnsi="David"/>
          <w:noProof w:val="0"/>
          <w:rtl/>
        </w:rPr>
        <w:t xml:space="preserve"> </w:t>
      </w:r>
      <w:r w:rsidR="0070103A">
        <w:rPr>
          <w:rFonts w:ascii="David" w:hAnsi="David" w:hint="cs"/>
          <w:noProof w:val="0"/>
          <w:rtl/>
        </w:rPr>
        <w:t>כי</w:t>
      </w:r>
      <w:r w:rsidR="0070103A">
        <w:rPr>
          <w:rFonts w:ascii="David" w:hAnsi="David"/>
          <w:noProof w:val="0"/>
          <w:rtl/>
        </w:rPr>
        <w:t xml:space="preserve"> המועד להגשתו</w:t>
      </w:r>
      <w:r w:rsidR="0070103A">
        <w:rPr>
          <w:rFonts w:ascii="David" w:hAnsi="David" w:hint="cs"/>
          <w:noProof w:val="0"/>
          <w:rtl/>
        </w:rPr>
        <w:t xml:space="preserve"> הינה 45 יום לאחר הערעור הראשון.</w:t>
      </w:r>
    </w:p>
    <w:p w:rsidR="005407E0" w:rsidRPr="00B40998" w:rsidRDefault="000A780A" w:rsidP="00B40998">
      <w:pPr>
        <w:spacing w:after="180" w:line="360" w:lineRule="auto"/>
        <w:ind w:left="-57"/>
        <w:jc w:val="both"/>
        <w:rPr>
          <w:rFonts w:ascii="David" w:hAnsi="David"/>
          <w:b/>
          <w:bCs/>
          <w:noProof w:val="0"/>
          <w:u w:val="single"/>
        </w:rPr>
      </w:pPr>
      <w:r>
        <w:rPr>
          <w:rFonts w:ascii="David" w:hAnsi="David" w:hint="cs"/>
          <w:b/>
          <w:bCs/>
          <w:noProof w:val="0"/>
          <w:u w:val="single"/>
          <w:rtl/>
        </w:rPr>
        <w:t>ה</w:t>
      </w:r>
      <w:r w:rsidR="005407E0" w:rsidRPr="00B40998">
        <w:rPr>
          <w:rFonts w:ascii="David" w:hAnsi="David"/>
          <w:b/>
          <w:bCs/>
          <w:noProof w:val="0"/>
          <w:u w:val="single"/>
          <w:rtl/>
        </w:rPr>
        <w:t>היסטוריה החקיקתית</w:t>
      </w:r>
    </w:p>
    <w:p w:rsidR="000A780A" w:rsidRDefault="000A780A" w:rsidP="000A780A">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 xml:space="preserve">טרם אעסוק בפרשנות הראויה במקרה זה, ראוי לסקור בקצרה את ההיסטוריה החקיקתית בנושא, </w:t>
      </w:r>
      <w:r w:rsidR="00961005">
        <w:rPr>
          <w:rFonts w:ascii="David" w:hAnsi="David" w:hint="cs"/>
          <w:noProof w:val="0"/>
          <w:rtl/>
        </w:rPr>
        <w:t xml:space="preserve">היסטוריה </w:t>
      </w:r>
      <w:r>
        <w:rPr>
          <w:rFonts w:ascii="David" w:hAnsi="David" w:hint="cs"/>
          <w:noProof w:val="0"/>
          <w:rtl/>
        </w:rPr>
        <w:t>אשר חשובה להבנת המכלול הנורמטיבי ולהכרעה הפרשנית בעניי</w:t>
      </w:r>
      <w:r w:rsidR="00961005">
        <w:rPr>
          <w:rFonts w:ascii="David" w:hAnsi="David" w:hint="cs"/>
          <w:noProof w:val="0"/>
          <w:rtl/>
        </w:rPr>
        <w:t>נ</w:t>
      </w:r>
      <w:r>
        <w:rPr>
          <w:rFonts w:ascii="David" w:hAnsi="David" w:hint="cs"/>
          <w:noProof w:val="0"/>
          <w:rtl/>
        </w:rPr>
        <w:t>נו.</w:t>
      </w:r>
    </w:p>
    <w:p w:rsidR="005407E0" w:rsidRPr="00B40998" w:rsidRDefault="00730ADD"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ביום 1.1.2021 נכנסו לתוקפן תקנות סדר הדין האזרחי, התשע"ט - 2018, בתחילה באופן חלקי</w:t>
      </w:r>
      <w:r w:rsidR="0070103A">
        <w:rPr>
          <w:rFonts w:ascii="David" w:hAnsi="David" w:hint="cs"/>
          <w:noProof w:val="0"/>
          <w:rtl/>
        </w:rPr>
        <w:t>,</w:t>
      </w:r>
      <w:r w:rsidRPr="00B40998">
        <w:rPr>
          <w:rFonts w:ascii="David" w:hAnsi="David"/>
          <w:noProof w:val="0"/>
          <w:rtl/>
        </w:rPr>
        <w:t xml:space="preserve"> ולאחר תקופת מעבר באופן מלא.</w:t>
      </w:r>
    </w:p>
    <w:p w:rsidR="00730ADD" w:rsidRPr="00B40998" w:rsidRDefault="00730ADD" w:rsidP="005B70A3">
      <w:pPr>
        <w:pStyle w:val="ad"/>
        <w:spacing w:after="180" w:line="360" w:lineRule="auto"/>
        <w:ind w:left="652"/>
        <w:contextualSpacing w:val="0"/>
        <w:jc w:val="both"/>
        <w:rPr>
          <w:rFonts w:ascii="David" w:hAnsi="David"/>
          <w:noProof w:val="0"/>
          <w:rtl/>
        </w:rPr>
      </w:pPr>
      <w:r w:rsidRPr="00B40998">
        <w:rPr>
          <w:rFonts w:ascii="David" w:hAnsi="David"/>
          <w:noProof w:val="0"/>
          <w:rtl/>
        </w:rPr>
        <w:t>תקנות אלו ערכו שינויים רבים בסדר</w:t>
      </w:r>
      <w:r w:rsidR="0070103A">
        <w:rPr>
          <w:rFonts w:ascii="David" w:hAnsi="David" w:hint="cs"/>
          <w:noProof w:val="0"/>
          <w:rtl/>
        </w:rPr>
        <w:t>י</w:t>
      </w:r>
      <w:r w:rsidRPr="00B40998">
        <w:rPr>
          <w:rFonts w:ascii="David" w:hAnsi="David"/>
          <w:noProof w:val="0"/>
          <w:rtl/>
        </w:rPr>
        <w:t xml:space="preserve"> הדין שהיו נהוגים לפי תקנות סדר הדין האזרחי, התשמ"ד </w:t>
      </w:r>
      <w:r w:rsidR="005B70A3">
        <w:rPr>
          <w:rFonts w:ascii="David" w:hAnsi="David" w:hint="cs"/>
          <w:noProof w:val="0"/>
          <w:rtl/>
        </w:rPr>
        <w:t>-</w:t>
      </w:r>
      <w:r w:rsidRPr="00B40998">
        <w:rPr>
          <w:rFonts w:ascii="David" w:hAnsi="David"/>
          <w:noProof w:val="0"/>
          <w:rtl/>
        </w:rPr>
        <w:t xml:space="preserve"> 1984 (להלן: </w:t>
      </w:r>
      <w:r w:rsidRPr="00B40998">
        <w:rPr>
          <w:rFonts w:ascii="David" w:hAnsi="David"/>
          <w:b/>
          <w:bCs/>
          <w:noProof w:val="0"/>
          <w:rtl/>
        </w:rPr>
        <w:t>"תקנות סדר הדין הישנות"</w:t>
      </w:r>
      <w:r w:rsidRPr="00B40998">
        <w:rPr>
          <w:rFonts w:ascii="David" w:hAnsi="David"/>
          <w:noProof w:val="0"/>
          <w:rtl/>
        </w:rPr>
        <w:t>).</w:t>
      </w:r>
    </w:p>
    <w:p w:rsidR="00A60536" w:rsidRPr="00B40998" w:rsidRDefault="00730ADD" w:rsidP="005B70A3">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ה</w:t>
      </w:r>
      <w:r w:rsidR="005B70A3">
        <w:rPr>
          <w:rFonts w:ascii="David" w:hAnsi="David" w:hint="cs"/>
          <w:noProof w:val="0"/>
          <w:rtl/>
        </w:rPr>
        <w:t xml:space="preserve">שינוי בתקנות </w:t>
      </w:r>
      <w:r w:rsidRPr="00B40998">
        <w:rPr>
          <w:rFonts w:ascii="David" w:hAnsi="David"/>
          <w:noProof w:val="0"/>
          <w:rtl/>
        </w:rPr>
        <w:t>הרלוונטי לענייננו הינו התיקון בעניין מוסד "הערעור שכנגד". בתקנות סדר הדין הישנות היה מותר למשיב בערעור להגיש ערעור שכ</w:t>
      </w:r>
      <w:r w:rsidR="00A60536" w:rsidRPr="00B40998">
        <w:rPr>
          <w:rFonts w:ascii="David" w:hAnsi="David"/>
          <w:noProof w:val="0"/>
          <w:rtl/>
        </w:rPr>
        <w:t>נ</w:t>
      </w:r>
      <w:r w:rsidRPr="00B40998">
        <w:rPr>
          <w:rFonts w:ascii="David" w:hAnsi="David"/>
          <w:noProof w:val="0"/>
          <w:rtl/>
        </w:rPr>
        <w:t>גד</w:t>
      </w:r>
      <w:r w:rsidR="00A60536" w:rsidRPr="00B40998">
        <w:rPr>
          <w:rFonts w:ascii="David" w:hAnsi="David"/>
          <w:noProof w:val="0"/>
          <w:rtl/>
        </w:rPr>
        <w:t xml:space="preserve">, אולם בהתאם לפסיקה ערעור זה הצריך זיקה לנושא הערעור המרכזי, ר', למשל, ע"א </w:t>
      </w:r>
      <w:r w:rsidR="00A60536" w:rsidRPr="00B40998">
        <w:rPr>
          <w:rFonts w:ascii="David" w:hAnsi="David"/>
          <w:b/>
          <w:bCs/>
          <w:noProof w:val="0"/>
          <w:rtl/>
        </w:rPr>
        <w:t>566/16 אברהם נ' מכללת אתגר תקשורת בע"מ</w:t>
      </w:r>
      <w:r w:rsidR="00A60536" w:rsidRPr="00B40998">
        <w:rPr>
          <w:rFonts w:ascii="David" w:hAnsi="David"/>
          <w:noProof w:val="0"/>
          <w:rtl/>
        </w:rPr>
        <w:t xml:space="preserve"> [פורסם במאגר נבו] (12.1.2017</w:t>
      </w:r>
      <w:r w:rsidR="0070103A">
        <w:rPr>
          <w:rFonts w:ascii="David" w:hAnsi="David"/>
          <w:noProof w:val="0"/>
          <w:rtl/>
        </w:rPr>
        <w:t>)</w:t>
      </w:r>
      <w:r w:rsidR="005B70A3">
        <w:rPr>
          <w:rFonts w:ascii="David" w:hAnsi="David" w:hint="cs"/>
          <w:noProof w:val="0"/>
          <w:rtl/>
        </w:rPr>
        <w:t>, כאשר</w:t>
      </w:r>
      <w:r w:rsidR="0070103A">
        <w:rPr>
          <w:rFonts w:ascii="David" w:hAnsi="David" w:hint="cs"/>
          <w:noProof w:val="0"/>
          <w:rtl/>
        </w:rPr>
        <w:t xml:space="preserve"> דרישת הזיקה רוככה במהלך השנים.</w:t>
      </w:r>
    </w:p>
    <w:p w:rsidR="00A60536" w:rsidRPr="00B40998" w:rsidRDefault="00A60536"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במסגרת התקנות החדשות </w:t>
      </w:r>
      <w:r w:rsidRPr="0070103A">
        <w:rPr>
          <w:rFonts w:ascii="David" w:hAnsi="David"/>
          <w:b/>
          <w:bCs/>
          <w:noProof w:val="0"/>
          <w:rtl/>
        </w:rPr>
        <w:t>בוטל</w:t>
      </w:r>
      <w:r w:rsidRPr="00B40998">
        <w:rPr>
          <w:rFonts w:ascii="David" w:hAnsi="David"/>
          <w:noProof w:val="0"/>
          <w:rtl/>
        </w:rPr>
        <w:t xml:space="preserve"> באופן מפורש מוסד "הערעור שכנגד" וכונן מוסד חדש "ערעור משיב". כך, תקנה 137 לתקנות סדר הדין החדשות העניקה זכות למשיב בערעור להגיש ערעור מטעמו, בכל נושא שהוא, לרבות על החלטות ביניים שניתנו במסגרת ההליך</w:t>
      </w:r>
      <w:r w:rsidR="0070103A">
        <w:rPr>
          <w:rFonts w:ascii="David" w:hAnsi="David" w:hint="cs"/>
          <w:noProof w:val="0"/>
          <w:rtl/>
        </w:rPr>
        <w:t xml:space="preserve"> בבית המשפט קמא,</w:t>
      </w:r>
      <w:r w:rsidRPr="00B40998">
        <w:rPr>
          <w:rFonts w:ascii="David" w:hAnsi="David"/>
          <w:noProof w:val="0"/>
          <w:rtl/>
        </w:rPr>
        <w:t xml:space="preserve"> וזאת ב</w:t>
      </w:r>
      <w:r w:rsidR="00023B5E" w:rsidRPr="00B40998">
        <w:rPr>
          <w:rFonts w:ascii="David" w:hAnsi="David"/>
          <w:noProof w:val="0"/>
          <w:rtl/>
        </w:rPr>
        <w:t>תוך 60 ימים מהיום בו הודע לו על הפקדת הערובה בערעור הראשי.</w:t>
      </w:r>
    </w:p>
    <w:p w:rsidR="00023B5E" w:rsidRPr="00B40998" w:rsidRDefault="00023B5E" w:rsidP="0096532E">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על השינוי שביקש מתקין התקנות בעניין </w:t>
      </w:r>
      <w:r w:rsidR="005B70A3">
        <w:rPr>
          <w:rFonts w:ascii="David" w:hAnsi="David" w:hint="cs"/>
          <w:noProof w:val="0"/>
          <w:rtl/>
        </w:rPr>
        <w:t xml:space="preserve">ביטול </w:t>
      </w:r>
      <w:r w:rsidRPr="00B40998">
        <w:rPr>
          <w:rFonts w:ascii="David" w:hAnsi="David"/>
          <w:noProof w:val="0"/>
          <w:rtl/>
        </w:rPr>
        <w:t xml:space="preserve">הערעור שכנגד </w:t>
      </w:r>
      <w:r w:rsidR="005B70A3">
        <w:rPr>
          <w:rFonts w:ascii="David" w:hAnsi="David" w:hint="cs"/>
          <w:noProof w:val="0"/>
          <w:rtl/>
        </w:rPr>
        <w:t xml:space="preserve">וכינון 'ערעור משיב', </w:t>
      </w:r>
      <w:r w:rsidRPr="00B40998">
        <w:rPr>
          <w:rFonts w:ascii="David" w:hAnsi="David"/>
          <w:noProof w:val="0"/>
          <w:rtl/>
        </w:rPr>
        <w:t>ר' ד"ר</w:t>
      </w:r>
      <w:r w:rsidR="00996950">
        <w:rPr>
          <w:rFonts w:ascii="David" w:hAnsi="David" w:hint="cs"/>
          <w:noProof w:val="0"/>
          <w:rtl/>
        </w:rPr>
        <w:t xml:space="preserve"> יעקב</w:t>
      </w:r>
      <w:r w:rsidR="00996950" w:rsidRPr="00996950">
        <w:rPr>
          <w:rFonts w:ascii="David" w:hAnsi="David"/>
          <w:noProof w:val="0"/>
          <w:rtl/>
        </w:rPr>
        <w:t xml:space="preserve"> שקד, </w:t>
      </w:r>
      <w:r w:rsidR="00996950" w:rsidRPr="00996950">
        <w:rPr>
          <w:rFonts w:ascii="David" w:hAnsi="David" w:hint="cs"/>
          <w:b/>
          <w:bCs/>
          <w:noProof w:val="0"/>
          <w:rtl/>
        </w:rPr>
        <w:t>'</w:t>
      </w:r>
      <w:r w:rsidR="00996950" w:rsidRPr="00996950">
        <w:rPr>
          <w:rFonts w:ascii="David" w:hAnsi="David"/>
          <w:b/>
          <w:bCs/>
          <w:noProof w:val="0"/>
          <w:rtl/>
        </w:rPr>
        <w:t>סדר הדין האזרחי החדש</w:t>
      </w:r>
      <w:r w:rsidR="00996950" w:rsidRPr="00996950">
        <w:rPr>
          <w:rFonts w:ascii="David" w:hAnsi="David" w:hint="cs"/>
          <w:b/>
          <w:bCs/>
          <w:noProof w:val="0"/>
          <w:rtl/>
        </w:rPr>
        <w:t>'</w:t>
      </w:r>
      <w:r w:rsidR="00996950" w:rsidRPr="00996950">
        <w:rPr>
          <w:rFonts w:ascii="David" w:hAnsi="David"/>
          <w:noProof w:val="0"/>
          <w:rtl/>
        </w:rPr>
        <w:t xml:space="preserve"> (מהד' שלישית) עמ' </w:t>
      </w:r>
      <w:r w:rsidR="0096532E">
        <w:rPr>
          <w:rFonts w:ascii="David" w:hAnsi="David" w:hint="cs"/>
          <w:noProof w:val="0"/>
          <w:rtl/>
        </w:rPr>
        <w:t>645</w:t>
      </w:r>
      <w:r w:rsidR="00996950">
        <w:rPr>
          <w:rFonts w:ascii="David" w:hAnsi="David" w:hint="cs"/>
          <w:b/>
          <w:bCs/>
          <w:noProof w:val="0"/>
          <w:rtl/>
        </w:rPr>
        <w:t>.</w:t>
      </w:r>
      <w:r w:rsidRPr="00B40998">
        <w:rPr>
          <w:rFonts w:ascii="David" w:hAnsi="David"/>
          <w:b/>
          <w:bCs/>
          <w:noProof w:val="0"/>
          <w:rtl/>
        </w:rPr>
        <w:t xml:space="preserve"> </w:t>
      </w:r>
    </w:p>
    <w:p w:rsidR="00E75AF5" w:rsidRPr="00B40998" w:rsidRDefault="0096532E" w:rsidP="0096532E">
      <w:pPr>
        <w:pStyle w:val="ad"/>
        <w:spacing w:after="180" w:line="360" w:lineRule="auto"/>
        <w:ind w:left="652"/>
        <w:contextualSpacing w:val="0"/>
        <w:jc w:val="both"/>
        <w:rPr>
          <w:rFonts w:ascii="David" w:hAnsi="David"/>
          <w:noProof w:val="0"/>
          <w:rtl/>
        </w:rPr>
      </w:pPr>
      <w:r>
        <w:rPr>
          <w:rFonts w:ascii="David" w:hAnsi="David" w:hint="cs"/>
          <w:noProof w:val="0"/>
          <w:rtl/>
        </w:rPr>
        <w:lastRenderedPageBreak/>
        <w:t xml:space="preserve">שינוי זה </w:t>
      </w:r>
      <w:r w:rsidR="00E75AF5" w:rsidRPr="00B40998">
        <w:rPr>
          <w:rFonts w:ascii="David" w:hAnsi="David"/>
          <w:noProof w:val="0"/>
          <w:rtl/>
        </w:rPr>
        <w:t>נקבע בתקנה 137</w:t>
      </w:r>
      <w:r>
        <w:rPr>
          <w:rFonts w:ascii="David" w:hAnsi="David" w:hint="cs"/>
          <w:noProof w:val="0"/>
          <w:rtl/>
        </w:rPr>
        <w:t xml:space="preserve"> לתקנות סדר הדין האזרחי</w:t>
      </w:r>
      <w:r w:rsidR="00E75AF5" w:rsidRPr="00B40998">
        <w:rPr>
          <w:rFonts w:ascii="David" w:hAnsi="David"/>
          <w:noProof w:val="0"/>
          <w:rtl/>
        </w:rPr>
        <w:t>:</w:t>
      </w:r>
    </w:p>
    <w:p w:rsidR="00E75AF5" w:rsidRPr="00B40998" w:rsidRDefault="00E75AF5" w:rsidP="00B40998">
      <w:pPr>
        <w:pStyle w:val="ad"/>
        <w:spacing w:after="180" w:line="360" w:lineRule="auto"/>
        <w:ind w:left="1077" w:right="284"/>
        <w:contextualSpacing w:val="0"/>
        <w:jc w:val="both"/>
        <w:rPr>
          <w:rFonts w:ascii="David" w:hAnsi="David"/>
          <w:b/>
          <w:bCs/>
          <w:noProof w:val="0"/>
          <w:rtl/>
        </w:rPr>
      </w:pPr>
      <w:r w:rsidRPr="00B40998">
        <w:rPr>
          <w:rFonts w:ascii="David" w:hAnsi="David"/>
          <w:b/>
          <w:bCs/>
          <w:noProof w:val="0"/>
          <w:rtl/>
        </w:rPr>
        <w:t>"137.</w:t>
      </w:r>
    </w:p>
    <w:p w:rsidR="00E75AF5" w:rsidRPr="00B40998" w:rsidRDefault="00E75AF5" w:rsidP="00B40998">
      <w:pPr>
        <w:pStyle w:val="ad"/>
        <w:spacing w:after="180" w:line="360" w:lineRule="auto"/>
        <w:ind w:left="1077" w:right="284"/>
        <w:contextualSpacing w:val="0"/>
        <w:jc w:val="both"/>
        <w:rPr>
          <w:rFonts w:ascii="David" w:hAnsi="David"/>
          <w:b/>
          <w:bCs/>
          <w:noProof w:val="0"/>
          <w:rtl/>
        </w:rPr>
      </w:pPr>
      <w:r w:rsidRPr="00B40998">
        <w:rPr>
          <w:rFonts w:ascii="David" w:hAnsi="David"/>
          <w:b/>
          <w:bCs/>
          <w:noProof w:val="0"/>
          <w:rtl/>
        </w:rPr>
        <w:t>(א) המועד להגשת ערעור על החלטה הוא שישים ימים מיום שהומצאה.</w:t>
      </w:r>
    </w:p>
    <w:p w:rsidR="00E75AF5" w:rsidRPr="00B40998" w:rsidRDefault="00E75AF5" w:rsidP="00B40998">
      <w:pPr>
        <w:pStyle w:val="ad"/>
        <w:spacing w:after="180" w:line="360" w:lineRule="auto"/>
        <w:ind w:left="1077" w:right="284"/>
        <w:contextualSpacing w:val="0"/>
        <w:jc w:val="both"/>
        <w:rPr>
          <w:rFonts w:ascii="David" w:hAnsi="David"/>
          <w:b/>
          <w:bCs/>
          <w:noProof w:val="0"/>
          <w:rtl/>
        </w:rPr>
      </w:pPr>
      <w:r w:rsidRPr="00B40998">
        <w:rPr>
          <w:rFonts w:ascii="David" w:hAnsi="David"/>
          <w:b/>
          <w:bCs/>
          <w:noProof w:val="0"/>
          <w:rtl/>
        </w:rPr>
        <w:t>(ב) על אף האמור בתקנת משנה (א), משיב בערעור רשאי להגיש ערעור בתוך שישים ימים מהיום שבו הומצא לו הערעור, או מהיום שבו הומצאה לו הודעה על הפקדת ערובה לפי תקנה 135, או מהיום שבו הומצאה לו החלטה על פטור מהפקדת ערובה, לפי המאוחר."</w:t>
      </w:r>
    </w:p>
    <w:p w:rsidR="00730ADD" w:rsidRPr="00B40998" w:rsidRDefault="00D36D9E" w:rsidP="00996950">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תקנות סדר הדין האזרחי החדשות לא </w:t>
      </w:r>
      <w:r w:rsidR="00996950">
        <w:rPr>
          <w:rFonts w:ascii="David" w:hAnsi="David" w:hint="cs"/>
          <w:noProof w:val="0"/>
          <w:rtl/>
        </w:rPr>
        <w:t xml:space="preserve">הוחלו באופן ישיר ומלא  </w:t>
      </w:r>
      <w:r w:rsidRPr="00B40998">
        <w:rPr>
          <w:rFonts w:ascii="David" w:hAnsi="David"/>
          <w:noProof w:val="0"/>
          <w:rtl/>
        </w:rPr>
        <w:t>על סדרי הדין בבית המשפט לענייני משפחה, ולגבי</w:t>
      </w:r>
      <w:r w:rsidR="00996950">
        <w:rPr>
          <w:rFonts w:ascii="David" w:hAnsi="David" w:hint="cs"/>
          <w:noProof w:val="0"/>
          <w:rtl/>
        </w:rPr>
        <w:t>הם</w:t>
      </w:r>
      <w:r w:rsidRPr="00B40998">
        <w:rPr>
          <w:rFonts w:ascii="David" w:hAnsi="David"/>
          <w:noProof w:val="0"/>
          <w:rtl/>
        </w:rPr>
        <w:t xml:space="preserve"> חוקקו תקנות </w:t>
      </w:r>
      <w:r w:rsidRPr="00996950">
        <w:rPr>
          <w:rFonts w:ascii="David" w:hAnsi="David"/>
          <w:b/>
          <w:bCs/>
          <w:noProof w:val="0"/>
          <w:rtl/>
        </w:rPr>
        <w:t>ספציפיות</w:t>
      </w:r>
      <w:r w:rsidRPr="00B40998">
        <w:rPr>
          <w:rFonts w:ascii="David" w:hAnsi="David"/>
          <w:noProof w:val="0"/>
          <w:rtl/>
        </w:rPr>
        <w:t>,</w:t>
      </w:r>
      <w:r w:rsidR="00730ADD" w:rsidRPr="00B40998">
        <w:rPr>
          <w:rFonts w:ascii="David" w:hAnsi="David"/>
          <w:noProof w:val="0"/>
          <w:rtl/>
        </w:rPr>
        <w:t xml:space="preserve"> </w:t>
      </w:r>
      <w:r w:rsidRPr="00B40998">
        <w:rPr>
          <w:rFonts w:ascii="David" w:hAnsi="David"/>
          <w:noProof w:val="0"/>
          <w:rtl/>
        </w:rPr>
        <w:t>תקנות בית משפט לענייני משפחה (סדרי דין), תשפ"א-2020</w:t>
      </w:r>
      <w:r w:rsidR="00996950">
        <w:rPr>
          <w:rFonts w:ascii="David" w:hAnsi="David" w:hint="cs"/>
          <w:noProof w:val="0"/>
          <w:rtl/>
        </w:rPr>
        <w:t>.</w:t>
      </w:r>
      <w:r w:rsidRPr="00B40998">
        <w:rPr>
          <w:rFonts w:ascii="David" w:hAnsi="David"/>
          <w:noProof w:val="0"/>
          <w:rtl/>
        </w:rPr>
        <w:t xml:space="preserve"> בהורא</w:t>
      </w:r>
      <w:r w:rsidR="00996950">
        <w:rPr>
          <w:rFonts w:ascii="David" w:hAnsi="David" w:hint="cs"/>
          <w:noProof w:val="0"/>
          <w:rtl/>
        </w:rPr>
        <w:t>ו</w:t>
      </w:r>
      <w:r w:rsidRPr="00B40998">
        <w:rPr>
          <w:rFonts w:ascii="David" w:hAnsi="David"/>
          <w:noProof w:val="0"/>
          <w:rtl/>
        </w:rPr>
        <w:t xml:space="preserve">ת המעבר </w:t>
      </w:r>
      <w:r w:rsidR="00996950">
        <w:rPr>
          <w:rFonts w:ascii="David" w:hAnsi="David" w:hint="cs"/>
          <w:noProof w:val="0"/>
          <w:rtl/>
        </w:rPr>
        <w:t xml:space="preserve">לתקנות אלו </w:t>
      </w:r>
      <w:r w:rsidRPr="00B40998">
        <w:rPr>
          <w:rFonts w:ascii="David" w:hAnsi="David"/>
          <w:noProof w:val="0"/>
          <w:rtl/>
        </w:rPr>
        <w:t>נקבע</w:t>
      </w:r>
      <w:r w:rsidR="00996950">
        <w:rPr>
          <w:rFonts w:ascii="David" w:hAnsi="David" w:hint="cs"/>
          <w:noProof w:val="0"/>
          <w:rtl/>
        </w:rPr>
        <w:t>,</w:t>
      </w:r>
      <w:r w:rsidRPr="00B40998">
        <w:rPr>
          <w:rFonts w:ascii="David" w:hAnsi="David"/>
          <w:noProof w:val="0"/>
          <w:rtl/>
        </w:rPr>
        <w:t xml:space="preserve"> כי אלו יחולו במקביל לתקנות סדר הדין האזרחי החדשות.</w:t>
      </w:r>
    </w:p>
    <w:p w:rsidR="00D36D9E" w:rsidRPr="00B40998" w:rsidRDefault="00996950" w:rsidP="00B40998">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 xml:space="preserve">עם זאת </w:t>
      </w:r>
      <w:r w:rsidR="00D36D9E" w:rsidRPr="00B40998">
        <w:rPr>
          <w:rFonts w:ascii="David" w:hAnsi="David"/>
          <w:noProof w:val="0"/>
          <w:rtl/>
        </w:rPr>
        <w:t>תקנה 1 לתקנות סדרי הדין משפחה, קבעה:</w:t>
      </w:r>
    </w:p>
    <w:p w:rsidR="00D36D9E" w:rsidRPr="00B40998" w:rsidRDefault="00D36D9E" w:rsidP="00B40998">
      <w:pPr>
        <w:pStyle w:val="ad"/>
        <w:spacing w:after="180" w:line="360" w:lineRule="auto"/>
        <w:ind w:left="1077" w:right="426"/>
        <w:contextualSpacing w:val="0"/>
        <w:jc w:val="both"/>
        <w:rPr>
          <w:rFonts w:ascii="David" w:hAnsi="David"/>
          <w:b/>
          <w:bCs/>
          <w:noProof w:val="0"/>
          <w:rtl/>
        </w:rPr>
      </w:pPr>
      <w:r w:rsidRPr="00B40998">
        <w:rPr>
          <w:rFonts w:ascii="David" w:hAnsi="David"/>
          <w:b/>
          <w:bCs/>
          <w:noProof w:val="0"/>
          <w:rtl/>
        </w:rPr>
        <w:t>"תקנות סדר הדין האזרחי יחולו על הליכים בבית משפט לענייני משפחה בשינויים המחויבים לפי העניין, אלא אם כן נקבע אחרת בתקנות אלה; בית המשפט רשאי לסטות מהוראות סדר הדין האזרחי ולנהוג בדרך הנראית לו הטובה ביותר לעשיית משפט צדק לפי סעיף 8 לחוק."</w:t>
      </w:r>
    </w:p>
    <w:p w:rsidR="00996950" w:rsidRDefault="00996950" w:rsidP="00996950">
      <w:pPr>
        <w:pStyle w:val="ad"/>
        <w:spacing w:after="180" w:line="360" w:lineRule="auto"/>
        <w:ind w:left="652"/>
        <w:contextualSpacing w:val="0"/>
        <w:jc w:val="both"/>
        <w:rPr>
          <w:rFonts w:ascii="David" w:hAnsi="David"/>
          <w:noProof w:val="0"/>
        </w:rPr>
      </w:pPr>
      <w:r>
        <w:rPr>
          <w:rFonts w:ascii="David" w:hAnsi="David" w:hint="cs"/>
          <w:noProof w:val="0"/>
          <w:rtl/>
        </w:rPr>
        <w:t xml:space="preserve">כלומר, הכלל הינו תחולת תקנות סדר הדין האזרחי, והחריג, כאשר נקבע אחרת בתקנות סדרי הדין משפחה. </w:t>
      </w:r>
    </w:p>
    <w:p w:rsidR="00694556" w:rsidRPr="00B40998" w:rsidRDefault="00022490" w:rsidP="00996950">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לעניין שלפניי, הערעור ומועדי הגשת הערעור, נקבעו ההוראות הבאות בתקנות סדרי הדין משפחה</w:t>
      </w:r>
      <w:r w:rsidR="00996950">
        <w:rPr>
          <w:rFonts w:ascii="David" w:hAnsi="David" w:hint="cs"/>
          <w:noProof w:val="0"/>
          <w:rtl/>
        </w:rPr>
        <w:t xml:space="preserve"> </w:t>
      </w:r>
      <w:r w:rsidR="00996950" w:rsidRPr="00996950">
        <w:rPr>
          <w:rFonts w:ascii="David" w:hAnsi="David" w:hint="cs"/>
          <w:b/>
          <w:bCs/>
          <w:noProof w:val="0"/>
          <w:rtl/>
        </w:rPr>
        <w:t>המקוריות</w:t>
      </w:r>
      <w:r w:rsidR="00996950">
        <w:rPr>
          <w:rFonts w:ascii="David" w:hAnsi="David" w:hint="cs"/>
          <w:noProof w:val="0"/>
          <w:rtl/>
        </w:rPr>
        <w:t>.</w:t>
      </w:r>
      <w:r w:rsidRPr="00B40998">
        <w:rPr>
          <w:rFonts w:ascii="David" w:hAnsi="David"/>
          <w:noProof w:val="0"/>
          <w:rtl/>
        </w:rPr>
        <w:t xml:space="preserve"> </w:t>
      </w:r>
    </w:p>
    <w:p w:rsidR="00022490" w:rsidRPr="00B40998" w:rsidRDefault="00022490"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בתקנה 44 נקבע הכלל, הקובע את תחולת תקנות סדר הדין האזרחי</w:t>
      </w:r>
      <w:r w:rsidR="0096532E">
        <w:rPr>
          <w:rFonts w:ascii="David" w:hAnsi="David" w:hint="cs"/>
          <w:noProof w:val="0"/>
          <w:rtl/>
        </w:rPr>
        <w:t xml:space="preserve"> בעניין ערעור אזרחי על ערעור בענייני משפחה</w:t>
      </w:r>
      <w:r w:rsidRPr="00B40998">
        <w:rPr>
          <w:rFonts w:ascii="David" w:hAnsi="David"/>
          <w:noProof w:val="0"/>
          <w:rtl/>
        </w:rPr>
        <w:t>:</w:t>
      </w:r>
    </w:p>
    <w:p w:rsidR="00022490" w:rsidRPr="00B40998" w:rsidRDefault="00022490" w:rsidP="00B40998">
      <w:pPr>
        <w:pStyle w:val="ad"/>
        <w:spacing w:after="180" w:line="360" w:lineRule="auto"/>
        <w:ind w:left="1077" w:right="426"/>
        <w:contextualSpacing w:val="0"/>
        <w:jc w:val="both"/>
        <w:rPr>
          <w:rFonts w:ascii="David" w:hAnsi="David"/>
          <w:b/>
          <w:bCs/>
          <w:noProof w:val="0"/>
          <w:rtl/>
        </w:rPr>
      </w:pPr>
      <w:r w:rsidRPr="00B40998">
        <w:rPr>
          <w:rFonts w:ascii="David" w:hAnsi="David"/>
          <w:b/>
          <w:bCs/>
          <w:noProof w:val="0"/>
          <w:rtl/>
        </w:rPr>
        <w:t>"</w:t>
      </w:r>
      <w:r w:rsidR="0096532E">
        <w:rPr>
          <w:rFonts w:ascii="David" w:hAnsi="David" w:hint="cs"/>
          <w:b/>
          <w:bCs/>
          <w:noProof w:val="0"/>
          <w:rtl/>
        </w:rPr>
        <w:t xml:space="preserve">44. </w:t>
      </w:r>
      <w:r w:rsidRPr="00B40998">
        <w:rPr>
          <w:rFonts w:ascii="David" w:hAnsi="David"/>
          <w:b/>
          <w:bCs/>
          <w:noProof w:val="0"/>
          <w:rtl/>
        </w:rPr>
        <w:t>פרק י"ז לחלק ב' לתקנות סדר הדין האזרחי יחול על כתב ערעור בענייני משפחה אם הוראותיו אינן סותרות סימן זה, בשינויים המחויבים ובשינויים שלהלן."</w:t>
      </w:r>
    </w:p>
    <w:p w:rsidR="00DF0A6A" w:rsidRDefault="00DF0A6A">
      <w:pPr>
        <w:bidi w:val="0"/>
        <w:rPr>
          <w:rFonts w:ascii="David" w:hAnsi="David"/>
          <w:noProof w:val="0"/>
          <w:rtl/>
        </w:rPr>
      </w:pPr>
      <w:r>
        <w:rPr>
          <w:rFonts w:ascii="David" w:hAnsi="David"/>
          <w:noProof w:val="0"/>
          <w:rtl/>
        </w:rPr>
        <w:br w:type="page"/>
      </w:r>
    </w:p>
    <w:p w:rsidR="00022490" w:rsidRPr="00B40998" w:rsidRDefault="00022490" w:rsidP="0096532E">
      <w:pPr>
        <w:pStyle w:val="ad"/>
        <w:spacing w:after="180" w:line="360" w:lineRule="auto"/>
        <w:ind w:left="652"/>
        <w:contextualSpacing w:val="0"/>
        <w:jc w:val="both"/>
        <w:rPr>
          <w:rFonts w:ascii="David" w:hAnsi="David"/>
          <w:noProof w:val="0"/>
          <w:rtl/>
        </w:rPr>
      </w:pPr>
      <w:r w:rsidRPr="00B40998">
        <w:rPr>
          <w:rFonts w:ascii="David" w:hAnsi="David"/>
          <w:noProof w:val="0"/>
          <w:rtl/>
        </w:rPr>
        <w:lastRenderedPageBreak/>
        <w:t xml:space="preserve">בתקנה 45 נקבעו הסדרים ספציפיים לגבי ערעורים </w:t>
      </w:r>
      <w:r w:rsidR="0096532E">
        <w:rPr>
          <w:rFonts w:ascii="David" w:hAnsi="David" w:hint="cs"/>
          <w:noProof w:val="0"/>
          <w:rtl/>
        </w:rPr>
        <w:t>ב</w:t>
      </w:r>
      <w:r w:rsidRPr="00B40998">
        <w:rPr>
          <w:rFonts w:ascii="David" w:hAnsi="David"/>
          <w:noProof w:val="0"/>
          <w:rtl/>
        </w:rPr>
        <w:t>ענייני משפחה:</w:t>
      </w:r>
    </w:p>
    <w:p w:rsidR="00541056" w:rsidRPr="00B40998" w:rsidRDefault="00541056" w:rsidP="00B40998">
      <w:pPr>
        <w:pStyle w:val="ad"/>
        <w:spacing w:after="180" w:line="360" w:lineRule="auto"/>
        <w:ind w:left="1077" w:right="426"/>
        <w:contextualSpacing w:val="0"/>
        <w:jc w:val="both"/>
        <w:rPr>
          <w:rFonts w:ascii="David" w:hAnsi="David"/>
          <w:b/>
          <w:bCs/>
          <w:noProof w:val="0"/>
          <w:rtl/>
        </w:rPr>
      </w:pPr>
      <w:r w:rsidRPr="00B40998">
        <w:rPr>
          <w:rFonts w:ascii="David" w:hAnsi="David"/>
          <w:b/>
          <w:bCs/>
          <w:noProof w:val="0"/>
          <w:rtl/>
        </w:rPr>
        <w:t>"45</w:t>
      </w:r>
    </w:p>
    <w:p w:rsidR="00022490" w:rsidRPr="00B40998" w:rsidRDefault="00022490" w:rsidP="00B40998">
      <w:pPr>
        <w:pStyle w:val="ad"/>
        <w:spacing w:after="180" w:line="360" w:lineRule="auto"/>
        <w:ind w:left="1077" w:right="426"/>
        <w:contextualSpacing w:val="0"/>
        <w:jc w:val="both"/>
        <w:rPr>
          <w:rFonts w:ascii="David" w:hAnsi="David"/>
          <w:b/>
          <w:bCs/>
          <w:noProof w:val="0"/>
          <w:rtl/>
        </w:rPr>
      </w:pPr>
      <w:r w:rsidRPr="00B40998">
        <w:rPr>
          <w:rFonts w:ascii="David" w:hAnsi="David"/>
          <w:b/>
          <w:bCs/>
          <w:noProof w:val="0"/>
          <w:rtl/>
        </w:rPr>
        <w:t>(א) המועד להגשת ערעור על פסק דין שניתן בבית המשפט לענייני משפחה הוא ארבעים וחמישה ימים מיום שהומצא פסק הדין.</w:t>
      </w:r>
    </w:p>
    <w:p w:rsidR="00E75AF5" w:rsidRPr="00B40998" w:rsidRDefault="00E75AF5" w:rsidP="00B40998">
      <w:pPr>
        <w:pStyle w:val="ad"/>
        <w:spacing w:after="180" w:line="360" w:lineRule="auto"/>
        <w:ind w:left="1077" w:right="426"/>
        <w:contextualSpacing w:val="0"/>
        <w:jc w:val="both"/>
        <w:rPr>
          <w:rFonts w:ascii="David" w:hAnsi="David"/>
          <w:b/>
          <w:bCs/>
          <w:noProof w:val="0"/>
          <w:rtl/>
        </w:rPr>
      </w:pPr>
      <w:r w:rsidRPr="00B40998">
        <w:rPr>
          <w:rFonts w:ascii="David" w:hAnsi="David"/>
          <w:b/>
          <w:bCs/>
          <w:noProof w:val="0"/>
          <w:rtl/>
        </w:rPr>
        <w:t>.</w:t>
      </w:r>
    </w:p>
    <w:p w:rsidR="00022490" w:rsidRPr="00B40998" w:rsidRDefault="00E75AF5" w:rsidP="00B40998">
      <w:pPr>
        <w:pStyle w:val="ad"/>
        <w:spacing w:after="180" w:line="360" w:lineRule="auto"/>
        <w:ind w:left="1077" w:right="426"/>
        <w:contextualSpacing w:val="0"/>
        <w:jc w:val="both"/>
        <w:rPr>
          <w:rFonts w:ascii="David" w:hAnsi="David"/>
          <w:b/>
          <w:bCs/>
          <w:noProof w:val="0"/>
          <w:rtl/>
        </w:rPr>
      </w:pPr>
      <w:r w:rsidRPr="00B40998">
        <w:rPr>
          <w:rFonts w:ascii="David" w:hAnsi="David"/>
          <w:b/>
          <w:bCs/>
          <w:noProof w:val="0"/>
          <w:rtl/>
        </w:rPr>
        <w:t xml:space="preserve"> </w:t>
      </w:r>
      <w:r w:rsidR="00022490" w:rsidRPr="00B40998">
        <w:rPr>
          <w:rFonts w:ascii="David" w:hAnsi="David"/>
          <w:b/>
          <w:bCs/>
          <w:noProof w:val="0"/>
          <w:rtl/>
        </w:rPr>
        <w:t>(ד) תקנה 137(א) לתקנות סדר הדין האזרחי לא תחול."</w:t>
      </w:r>
    </w:p>
    <w:p w:rsidR="00E75AF5" w:rsidRPr="00B40998" w:rsidRDefault="00E75AF5" w:rsidP="0096532E">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כלומר</w:t>
      </w:r>
      <w:r w:rsidR="0096532E">
        <w:rPr>
          <w:rFonts w:ascii="David" w:hAnsi="David" w:hint="cs"/>
          <w:noProof w:val="0"/>
          <w:rtl/>
        </w:rPr>
        <w:t>,</w:t>
      </w:r>
      <w:r w:rsidRPr="00B40998">
        <w:rPr>
          <w:rFonts w:ascii="David" w:hAnsi="David"/>
          <w:noProof w:val="0"/>
          <w:rtl/>
        </w:rPr>
        <w:t xml:space="preserve"> בנוסח המקורי של תקנות סדרי הדין משפחה הוחלו סדרי הדין האזרחי החדשים</w:t>
      </w:r>
      <w:r w:rsidR="00996950">
        <w:rPr>
          <w:rFonts w:ascii="David" w:hAnsi="David" w:hint="cs"/>
          <w:noProof w:val="0"/>
          <w:rtl/>
        </w:rPr>
        <w:t xml:space="preserve"> בעניין ערעור</w:t>
      </w:r>
      <w:r w:rsidRPr="00B40998">
        <w:rPr>
          <w:rFonts w:ascii="David" w:hAnsi="David"/>
          <w:noProof w:val="0"/>
          <w:rtl/>
        </w:rPr>
        <w:t xml:space="preserve">, </w:t>
      </w:r>
      <w:r w:rsidRPr="00996950">
        <w:rPr>
          <w:rFonts w:ascii="David" w:hAnsi="David"/>
          <w:b/>
          <w:bCs/>
          <w:noProof w:val="0"/>
          <w:rtl/>
        </w:rPr>
        <w:t>למעט</w:t>
      </w:r>
      <w:r w:rsidRPr="00B40998">
        <w:rPr>
          <w:rFonts w:ascii="David" w:hAnsi="David"/>
          <w:noProof w:val="0"/>
          <w:rtl/>
        </w:rPr>
        <w:t xml:space="preserve"> חריג אחד והוא</w:t>
      </w:r>
      <w:r w:rsidR="00996950">
        <w:rPr>
          <w:rFonts w:ascii="David" w:hAnsi="David" w:hint="cs"/>
          <w:noProof w:val="0"/>
          <w:rtl/>
        </w:rPr>
        <w:t>,</w:t>
      </w:r>
      <w:r w:rsidRPr="00B40998">
        <w:rPr>
          <w:rFonts w:ascii="David" w:hAnsi="David"/>
          <w:noProof w:val="0"/>
          <w:rtl/>
        </w:rPr>
        <w:t xml:space="preserve"> כי המועד להגשת הערעור הינו 45 ימים מיום שהומצא פסק הדין ולא 60 ימים כפי שנקבע בתקנה 137(א) לתקנות סדר הדין האזרחי.</w:t>
      </w:r>
    </w:p>
    <w:p w:rsidR="00E75AF5" w:rsidRPr="00B40998" w:rsidRDefault="00E75AF5"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במצב חוקי זה, אין חולק כי למשיב בערעור משפחה ה</w:t>
      </w:r>
      <w:r w:rsidR="00996950">
        <w:rPr>
          <w:rFonts w:ascii="David" w:hAnsi="David" w:hint="cs"/>
          <w:noProof w:val="0"/>
          <w:rtl/>
        </w:rPr>
        <w:t>י</w:t>
      </w:r>
      <w:r w:rsidRPr="00B40998">
        <w:rPr>
          <w:rFonts w:ascii="David" w:hAnsi="David"/>
          <w:noProof w:val="0"/>
          <w:rtl/>
        </w:rPr>
        <w:t>י</w:t>
      </w:r>
      <w:r w:rsidR="00996950">
        <w:rPr>
          <w:rFonts w:ascii="David" w:hAnsi="David" w:hint="cs"/>
          <w:noProof w:val="0"/>
          <w:rtl/>
        </w:rPr>
        <w:t>ת</w:t>
      </w:r>
      <w:r w:rsidRPr="00B40998">
        <w:rPr>
          <w:rFonts w:ascii="David" w:hAnsi="David"/>
          <w:noProof w:val="0"/>
          <w:rtl/>
        </w:rPr>
        <w:t xml:space="preserve">ה </w:t>
      </w:r>
      <w:r w:rsidR="00996950">
        <w:rPr>
          <w:rFonts w:ascii="David" w:hAnsi="David" w:hint="cs"/>
          <w:noProof w:val="0"/>
          <w:rtl/>
        </w:rPr>
        <w:t xml:space="preserve">קיימת </w:t>
      </w:r>
      <w:r w:rsidRPr="00B40998">
        <w:rPr>
          <w:rFonts w:ascii="David" w:hAnsi="David"/>
          <w:noProof w:val="0"/>
          <w:rtl/>
        </w:rPr>
        <w:t>זכות להגשת ערעור משיב וזאת מכוח תקנה 137(ב) לתקנ</w:t>
      </w:r>
      <w:r w:rsidR="0096532E">
        <w:rPr>
          <w:rFonts w:ascii="David" w:hAnsi="David" w:hint="cs"/>
          <w:noProof w:val="0"/>
          <w:rtl/>
        </w:rPr>
        <w:t>ו</w:t>
      </w:r>
      <w:r w:rsidRPr="00B40998">
        <w:rPr>
          <w:rFonts w:ascii="David" w:hAnsi="David"/>
          <w:noProof w:val="0"/>
          <w:rtl/>
        </w:rPr>
        <w:t>ת סדר הדין האזרחי</w:t>
      </w:r>
      <w:r w:rsidR="00996950">
        <w:rPr>
          <w:rFonts w:ascii="David" w:hAnsi="David" w:hint="cs"/>
          <w:noProof w:val="0"/>
          <w:rtl/>
        </w:rPr>
        <w:t>,</w:t>
      </w:r>
      <w:r w:rsidRPr="00B40998">
        <w:rPr>
          <w:rFonts w:ascii="David" w:hAnsi="David"/>
          <w:noProof w:val="0"/>
          <w:rtl/>
        </w:rPr>
        <w:t xml:space="preserve"> אשר בהעדר הוראה אחרת חלה גם על ערעורי משפחה.</w:t>
      </w:r>
    </w:p>
    <w:p w:rsidR="00E75AF5" w:rsidRPr="00B40998" w:rsidRDefault="00E75AF5" w:rsidP="00272B3F">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אבהיר, כי </w:t>
      </w:r>
      <w:r w:rsidR="0096532E">
        <w:rPr>
          <w:rFonts w:ascii="David" w:hAnsi="David" w:hint="cs"/>
          <w:noProof w:val="0"/>
          <w:rtl/>
        </w:rPr>
        <w:t xml:space="preserve">לאור נוסח זה של התקנות, </w:t>
      </w:r>
      <w:r w:rsidR="00996950">
        <w:rPr>
          <w:rFonts w:ascii="David" w:hAnsi="David" w:hint="cs"/>
          <w:noProof w:val="0"/>
          <w:rtl/>
        </w:rPr>
        <w:t xml:space="preserve">התעוררה </w:t>
      </w:r>
      <w:r w:rsidR="00D5160B" w:rsidRPr="00B40998">
        <w:rPr>
          <w:rFonts w:ascii="David" w:hAnsi="David"/>
          <w:noProof w:val="0"/>
          <w:rtl/>
        </w:rPr>
        <w:t xml:space="preserve">מחלוקת לגבי פרק הזמן להגשת ערעור המשיב בענייני משפחה, האם 60 יום או 45 יום, אולם </w:t>
      </w:r>
      <w:r w:rsidR="00996950">
        <w:rPr>
          <w:rFonts w:ascii="David" w:hAnsi="David" w:hint="cs"/>
          <w:noProof w:val="0"/>
          <w:rtl/>
        </w:rPr>
        <w:t>לא הי</w:t>
      </w:r>
      <w:r w:rsidR="00272B3F">
        <w:rPr>
          <w:rFonts w:ascii="David" w:hAnsi="David" w:hint="cs"/>
          <w:noProof w:val="0"/>
          <w:rtl/>
        </w:rPr>
        <w:t>ית</w:t>
      </w:r>
      <w:r w:rsidR="00996950">
        <w:rPr>
          <w:rFonts w:ascii="David" w:hAnsi="David" w:hint="cs"/>
          <w:noProof w:val="0"/>
          <w:rtl/>
        </w:rPr>
        <w:t>ה</w:t>
      </w:r>
      <w:r w:rsidR="00D5160B" w:rsidRPr="00B40998">
        <w:rPr>
          <w:rFonts w:ascii="David" w:hAnsi="David"/>
          <w:noProof w:val="0"/>
          <w:rtl/>
        </w:rPr>
        <w:t xml:space="preserve"> </w:t>
      </w:r>
      <w:r w:rsidR="00272B3F">
        <w:rPr>
          <w:rFonts w:ascii="David" w:hAnsi="David" w:hint="cs"/>
          <w:noProof w:val="0"/>
          <w:rtl/>
        </w:rPr>
        <w:t>מחלוקת</w:t>
      </w:r>
      <w:r w:rsidR="00996950">
        <w:rPr>
          <w:rFonts w:ascii="David" w:hAnsi="David"/>
          <w:noProof w:val="0"/>
          <w:rtl/>
        </w:rPr>
        <w:t xml:space="preserve"> כי ערעור משיב ניתן היה להגיש</w:t>
      </w:r>
      <w:r w:rsidR="00996950">
        <w:rPr>
          <w:rFonts w:ascii="David" w:hAnsi="David" w:hint="cs"/>
          <w:noProof w:val="0"/>
          <w:rtl/>
        </w:rPr>
        <w:t xml:space="preserve"> לאחר שהוגש הערעור הראשון.</w:t>
      </w:r>
    </w:p>
    <w:p w:rsidR="00022490" w:rsidRPr="00B40998" w:rsidRDefault="00996950" w:rsidP="00996950">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 xml:space="preserve">כאמור, </w:t>
      </w:r>
      <w:r w:rsidR="006D2009" w:rsidRPr="00B40998">
        <w:rPr>
          <w:rFonts w:ascii="David" w:hAnsi="David"/>
          <w:noProof w:val="0"/>
          <w:rtl/>
        </w:rPr>
        <w:t xml:space="preserve">ביום 19.12.2022 פורסם תיקון תשפ"ג לתקנות סדרי הדין משפחה, אשר נכנס לתוקף ביום </w:t>
      </w:r>
      <w:r w:rsidR="000C45EF" w:rsidRPr="00B40998">
        <w:rPr>
          <w:rFonts w:ascii="David" w:hAnsi="David"/>
          <w:noProof w:val="0"/>
          <w:rtl/>
        </w:rPr>
        <w:t>18.1.2023.</w:t>
      </w:r>
      <w:r w:rsidR="006D2009" w:rsidRPr="00B40998">
        <w:rPr>
          <w:rFonts w:ascii="David" w:hAnsi="David"/>
          <w:noProof w:val="0"/>
          <w:rtl/>
        </w:rPr>
        <w:t xml:space="preserve"> </w:t>
      </w:r>
    </w:p>
    <w:p w:rsidR="000C45EF" w:rsidRPr="00B40998" w:rsidRDefault="000C45EF"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במסגרת התיקון </w:t>
      </w:r>
      <w:r w:rsidRPr="00996950">
        <w:rPr>
          <w:rFonts w:ascii="David" w:hAnsi="David"/>
          <w:b/>
          <w:bCs/>
          <w:noProof w:val="0"/>
          <w:rtl/>
        </w:rPr>
        <w:t>תוקנה</w:t>
      </w:r>
      <w:r w:rsidRPr="00B40998">
        <w:rPr>
          <w:rFonts w:ascii="David" w:hAnsi="David"/>
          <w:noProof w:val="0"/>
          <w:rtl/>
        </w:rPr>
        <w:t xml:space="preserve"> גם תקנה 45(</w:t>
      </w:r>
      <w:r w:rsidR="00BE3A4A">
        <w:rPr>
          <w:rFonts w:ascii="David" w:hAnsi="David" w:hint="cs"/>
          <w:noProof w:val="0"/>
          <w:rtl/>
        </w:rPr>
        <w:t>ד</w:t>
      </w:r>
      <w:r w:rsidRPr="00B40998">
        <w:rPr>
          <w:rFonts w:ascii="David" w:hAnsi="David"/>
          <w:noProof w:val="0"/>
          <w:rtl/>
        </w:rPr>
        <w:t>) לתקנות סדרי הדין המשפחה, כדלקמן:</w:t>
      </w:r>
    </w:p>
    <w:p w:rsidR="000C45EF" w:rsidRPr="00B40998" w:rsidRDefault="000C45EF" w:rsidP="00B40998">
      <w:pPr>
        <w:pStyle w:val="ad"/>
        <w:spacing w:after="180" w:line="360" w:lineRule="auto"/>
        <w:ind w:left="1219"/>
        <w:contextualSpacing w:val="0"/>
        <w:jc w:val="both"/>
        <w:rPr>
          <w:rFonts w:ascii="David" w:hAnsi="David"/>
          <w:b/>
          <w:bCs/>
          <w:noProof w:val="0"/>
          <w:rtl/>
        </w:rPr>
      </w:pPr>
      <w:r w:rsidRPr="00B40998">
        <w:rPr>
          <w:rFonts w:ascii="David" w:hAnsi="David"/>
          <w:b/>
          <w:bCs/>
          <w:noProof w:val="0"/>
          <w:rtl/>
        </w:rPr>
        <w:t>"45.</w:t>
      </w:r>
    </w:p>
    <w:p w:rsidR="000C45EF" w:rsidRPr="00B40998" w:rsidRDefault="000C45EF" w:rsidP="00B40998">
      <w:pPr>
        <w:pStyle w:val="ad"/>
        <w:spacing w:after="180" w:line="360" w:lineRule="auto"/>
        <w:ind w:left="1219"/>
        <w:contextualSpacing w:val="0"/>
        <w:jc w:val="both"/>
        <w:rPr>
          <w:rFonts w:ascii="David" w:hAnsi="David"/>
          <w:b/>
          <w:bCs/>
          <w:noProof w:val="0"/>
          <w:rtl/>
        </w:rPr>
      </w:pPr>
      <w:r w:rsidRPr="00B40998">
        <w:rPr>
          <w:rFonts w:ascii="David" w:hAnsi="David"/>
          <w:b/>
          <w:bCs/>
          <w:noProof w:val="0"/>
          <w:rtl/>
        </w:rPr>
        <w:t xml:space="preserve">(ד) תקנה 137 </w:t>
      </w:r>
      <w:r w:rsidRPr="00B40998">
        <w:rPr>
          <w:rFonts w:ascii="David" w:hAnsi="David"/>
          <w:b/>
          <w:bCs/>
          <w:strike/>
          <w:noProof w:val="0"/>
          <w:rtl/>
        </w:rPr>
        <w:t xml:space="preserve">(א)137 </w:t>
      </w:r>
      <w:r w:rsidRPr="00B40998">
        <w:rPr>
          <w:rFonts w:ascii="David" w:hAnsi="David"/>
          <w:b/>
          <w:bCs/>
          <w:noProof w:val="0"/>
          <w:rtl/>
        </w:rPr>
        <w:t>לתקנות סדר הדין האזרחי לא תחול."</w:t>
      </w:r>
    </w:p>
    <w:p w:rsidR="00694556" w:rsidRPr="00B40998" w:rsidRDefault="000C45EF" w:rsidP="00272B3F">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כלומר, בעוד שלפני תיקון</w:t>
      </w:r>
      <w:r w:rsidR="00272B3F">
        <w:rPr>
          <w:rFonts w:ascii="David" w:hAnsi="David" w:hint="cs"/>
          <w:noProof w:val="0"/>
          <w:rtl/>
        </w:rPr>
        <w:t xml:space="preserve"> 2022</w:t>
      </w:r>
      <w:r w:rsidRPr="00B40998">
        <w:rPr>
          <w:rFonts w:ascii="David" w:hAnsi="David"/>
          <w:noProof w:val="0"/>
          <w:rtl/>
        </w:rPr>
        <w:t xml:space="preserve"> נשללה תחולת תקנה </w:t>
      </w:r>
      <w:r w:rsidRPr="00A201C8">
        <w:rPr>
          <w:rFonts w:ascii="David" w:hAnsi="David"/>
          <w:b/>
          <w:bCs/>
          <w:noProof w:val="0"/>
          <w:rtl/>
        </w:rPr>
        <w:t>137(א)</w:t>
      </w:r>
      <w:r w:rsidRPr="00B40998">
        <w:rPr>
          <w:rFonts w:ascii="David" w:hAnsi="David"/>
          <w:noProof w:val="0"/>
          <w:rtl/>
        </w:rPr>
        <w:t xml:space="preserve"> בלבד</w:t>
      </w:r>
      <w:r w:rsidR="00272B3F">
        <w:rPr>
          <w:rFonts w:ascii="David" w:hAnsi="David" w:hint="cs"/>
          <w:noProof w:val="0"/>
          <w:rtl/>
        </w:rPr>
        <w:t xml:space="preserve"> על הליכי ערעור בענייני משפחה</w:t>
      </w:r>
      <w:r w:rsidRPr="00B40998">
        <w:rPr>
          <w:rFonts w:ascii="David" w:hAnsi="David"/>
          <w:noProof w:val="0"/>
          <w:rtl/>
        </w:rPr>
        <w:t xml:space="preserve">, </w:t>
      </w:r>
      <w:r w:rsidR="00272B3F">
        <w:rPr>
          <w:rFonts w:ascii="David" w:hAnsi="David" w:hint="cs"/>
          <w:noProof w:val="0"/>
          <w:rtl/>
        </w:rPr>
        <w:t xml:space="preserve">הרי </w:t>
      </w:r>
      <w:r w:rsidRPr="00B40998">
        <w:rPr>
          <w:rFonts w:ascii="David" w:hAnsi="David"/>
          <w:noProof w:val="0"/>
          <w:rtl/>
        </w:rPr>
        <w:t xml:space="preserve">אחרי תיקון 2022 נשללה תחולת תקנה </w:t>
      </w:r>
      <w:r w:rsidRPr="00A201C8">
        <w:rPr>
          <w:rFonts w:ascii="David" w:hAnsi="David"/>
          <w:b/>
          <w:bCs/>
          <w:noProof w:val="0"/>
          <w:rtl/>
        </w:rPr>
        <w:t xml:space="preserve">137 </w:t>
      </w:r>
      <w:r w:rsidRPr="00255FCC">
        <w:rPr>
          <w:rFonts w:ascii="David" w:hAnsi="David"/>
          <w:b/>
          <w:bCs/>
          <w:noProof w:val="0"/>
          <w:rtl/>
        </w:rPr>
        <w:t>כולה</w:t>
      </w:r>
      <w:r w:rsidRPr="00B40998">
        <w:rPr>
          <w:rFonts w:ascii="David" w:hAnsi="David"/>
          <w:noProof w:val="0"/>
          <w:rtl/>
        </w:rPr>
        <w:t xml:space="preserve">, לרבות </w:t>
      </w:r>
      <w:r w:rsidR="00255FCC">
        <w:rPr>
          <w:rFonts w:ascii="David" w:hAnsi="David" w:hint="cs"/>
          <w:noProof w:val="0"/>
          <w:rtl/>
        </w:rPr>
        <w:t xml:space="preserve">שלילת תחולת </w:t>
      </w:r>
      <w:r w:rsidRPr="00A201C8">
        <w:rPr>
          <w:rFonts w:ascii="David" w:hAnsi="David"/>
          <w:b/>
          <w:bCs/>
          <w:noProof w:val="0"/>
          <w:rtl/>
        </w:rPr>
        <w:t>תקנה 137(ב)</w:t>
      </w:r>
      <w:r w:rsidR="00272B3F">
        <w:rPr>
          <w:rFonts w:ascii="David" w:hAnsi="David" w:hint="cs"/>
          <w:b/>
          <w:bCs/>
          <w:noProof w:val="0"/>
          <w:rtl/>
        </w:rPr>
        <w:t>,</w:t>
      </w:r>
      <w:r w:rsidRPr="00B40998">
        <w:rPr>
          <w:rFonts w:ascii="David" w:hAnsi="David"/>
          <w:noProof w:val="0"/>
          <w:rtl/>
        </w:rPr>
        <w:t xml:space="preserve"> </w:t>
      </w:r>
      <w:r w:rsidR="00272B3F">
        <w:rPr>
          <w:rFonts w:ascii="David" w:hAnsi="David" w:hint="cs"/>
          <w:noProof w:val="0"/>
          <w:rtl/>
        </w:rPr>
        <w:t xml:space="preserve">תקנה </w:t>
      </w:r>
      <w:r w:rsidR="00255FCC">
        <w:rPr>
          <w:rFonts w:ascii="David" w:hAnsi="David" w:hint="cs"/>
          <w:noProof w:val="0"/>
          <w:rtl/>
        </w:rPr>
        <w:t xml:space="preserve">אשר </w:t>
      </w:r>
      <w:r w:rsidRPr="00B40998">
        <w:rPr>
          <w:rFonts w:ascii="David" w:hAnsi="David"/>
          <w:noProof w:val="0"/>
          <w:rtl/>
        </w:rPr>
        <w:t>קובעת את זכות המשיב בערעור אזרחי להגיש ערעור מטעמו 60 ימים לאחר הגשת הערעור הראשי.</w:t>
      </w:r>
    </w:p>
    <w:p w:rsidR="00411AF3" w:rsidRPr="00B40998" w:rsidRDefault="00255FCC" w:rsidP="00255FCC">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 xml:space="preserve">כאמור, </w:t>
      </w:r>
      <w:r w:rsidR="00411AF3" w:rsidRPr="00B40998">
        <w:rPr>
          <w:rFonts w:ascii="David" w:hAnsi="David"/>
          <w:noProof w:val="0"/>
          <w:rtl/>
        </w:rPr>
        <w:t>ל</w:t>
      </w:r>
      <w:r w:rsidR="000C45EF" w:rsidRPr="00B40998">
        <w:rPr>
          <w:rFonts w:ascii="David" w:hAnsi="David"/>
          <w:noProof w:val="0"/>
          <w:rtl/>
        </w:rPr>
        <w:t>תיקון</w:t>
      </w:r>
      <w:r w:rsidR="00411AF3" w:rsidRPr="00B40998">
        <w:rPr>
          <w:rFonts w:ascii="David" w:hAnsi="David"/>
          <w:noProof w:val="0"/>
          <w:rtl/>
        </w:rPr>
        <w:t xml:space="preserve"> 2022 קדם תזכיר שפורסם על ידי משרד המשפטים, במסגרתו נכתבו דברי הסבר לתיקון, הן כלליים וה</w:t>
      </w:r>
      <w:r>
        <w:rPr>
          <w:rFonts w:ascii="David" w:hAnsi="David" w:hint="cs"/>
          <w:noProof w:val="0"/>
          <w:rtl/>
        </w:rPr>
        <w:t>ן</w:t>
      </w:r>
      <w:r w:rsidR="00411AF3" w:rsidRPr="00B40998">
        <w:rPr>
          <w:rFonts w:ascii="David" w:hAnsi="David"/>
          <w:noProof w:val="0"/>
          <w:rtl/>
        </w:rPr>
        <w:t xml:space="preserve"> כאלו הנוגעים לתקנה 45 נשוא הדיון שלפניי.</w:t>
      </w:r>
    </w:p>
    <w:p w:rsidR="00411AF3" w:rsidRPr="00B40998" w:rsidRDefault="00411AF3" w:rsidP="00255FCC">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lastRenderedPageBreak/>
        <w:t xml:space="preserve">כך, באופן כללי, מפורטת </w:t>
      </w:r>
      <w:r w:rsidR="00255FCC">
        <w:rPr>
          <w:rFonts w:ascii="David" w:hAnsi="David" w:hint="cs"/>
          <w:noProof w:val="0"/>
          <w:rtl/>
        </w:rPr>
        <w:t>ה</w:t>
      </w:r>
      <w:r w:rsidRPr="00B40998">
        <w:rPr>
          <w:rFonts w:ascii="David" w:hAnsi="David"/>
          <w:noProof w:val="0"/>
          <w:rtl/>
        </w:rPr>
        <w:t>מטר</w:t>
      </w:r>
      <w:r w:rsidR="00255FCC">
        <w:rPr>
          <w:rFonts w:ascii="David" w:hAnsi="David" w:hint="cs"/>
          <w:noProof w:val="0"/>
          <w:rtl/>
        </w:rPr>
        <w:t>ה הכללית של</w:t>
      </w:r>
      <w:r w:rsidRPr="00B40998">
        <w:rPr>
          <w:rFonts w:ascii="David" w:hAnsi="David"/>
          <w:noProof w:val="0"/>
          <w:rtl/>
        </w:rPr>
        <w:t xml:space="preserve"> תיקון 2022 לתקנות סדרין הדין משפחה:</w:t>
      </w:r>
    </w:p>
    <w:p w:rsidR="00411AF3" w:rsidRPr="00B40998" w:rsidRDefault="00411AF3" w:rsidP="00A201C8">
      <w:pPr>
        <w:spacing w:after="180" w:line="360" w:lineRule="auto"/>
        <w:ind w:left="1134" w:right="567"/>
        <w:jc w:val="both"/>
        <w:rPr>
          <w:rFonts w:ascii="David" w:hAnsi="David"/>
          <w:b/>
          <w:bCs/>
          <w:noProof w:val="0"/>
          <w:rtl/>
        </w:rPr>
      </w:pPr>
      <w:r w:rsidRPr="00B40998">
        <w:rPr>
          <w:rFonts w:ascii="David" w:hAnsi="David"/>
          <w:noProof w:val="0"/>
          <w:rtl/>
        </w:rPr>
        <w:t>"</w:t>
      </w:r>
      <w:r w:rsidRPr="00B40998">
        <w:rPr>
          <w:rFonts w:ascii="David" w:hAnsi="David"/>
          <w:b/>
          <w:bCs/>
          <w:noProof w:val="0"/>
          <w:rtl/>
        </w:rPr>
        <w:t>כעת, מבוקש לערוך מספר תיקונים לתקנות אלה, אשר נועדו בין השאר לסייע להתמודד עם שאלות שהתעוררו במסגרת ניהול ההליכים בבתי המשפט למשפחה, להבהיר את סדרי הדין החלים בבית משפט זה, ולכן להשלים את המענה הנדרש מבחינת סדרי הדין לצורך ניהול ההליכים."</w:t>
      </w:r>
    </w:p>
    <w:p w:rsidR="00411AF3" w:rsidRPr="00B40998" w:rsidRDefault="00411AF3"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כמו כן, מתייחס התזכיר לתיקון</w:t>
      </w:r>
      <w:r w:rsidR="00255FCC">
        <w:rPr>
          <w:rFonts w:ascii="David" w:hAnsi="David" w:hint="cs"/>
          <w:noProof w:val="0"/>
          <w:rtl/>
        </w:rPr>
        <w:t xml:space="preserve"> המוצע</w:t>
      </w:r>
      <w:r w:rsidRPr="00B40998">
        <w:rPr>
          <w:rFonts w:ascii="David" w:hAnsi="David"/>
          <w:noProof w:val="0"/>
          <w:rtl/>
        </w:rPr>
        <w:t xml:space="preserve"> </w:t>
      </w:r>
      <w:r w:rsidR="00255FCC">
        <w:rPr>
          <w:rFonts w:ascii="David" w:hAnsi="David" w:hint="cs"/>
          <w:noProof w:val="0"/>
          <w:rtl/>
        </w:rPr>
        <w:t>ל</w:t>
      </w:r>
      <w:r w:rsidRPr="00B40998">
        <w:rPr>
          <w:rFonts w:ascii="David" w:hAnsi="David"/>
          <w:noProof w:val="0"/>
          <w:rtl/>
        </w:rPr>
        <w:t>תקנה 45(ד), ומבהיר:</w:t>
      </w:r>
    </w:p>
    <w:p w:rsidR="00411AF3" w:rsidRPr="00B40998" w:rsidRDefault="00411AF3" w:rsidP="00A201C8">
      <w:pPr>
        <w:spacing w:after="180" w:line="360" w:lineRule="auto"/>
        <w:ind w:left="1134" w:right="567"/>
        <w:jc w:val="both"/>
        <w:rPr>
          <w:rFonts w:ascii="David" w:hAnsi="David"/>
          <w:b/>
          <w:bCs/>
          <w:noProof w:val="0"/>
          <w:rtl/>
        </w:rPr>
      </w:pPr>
      <w:r w:rsidRPr="00B40998">
        <w:rPr>
          <w:rFonts w:ascii="David" w:hAnsi="David"/>
          <w:b/>
          <w:bCs/>
          <w:noProof w:val="0"/>
          <w:rtl/>
        </w:rPr>
        <w:t xml:space="preserve">"סעיף 8: מוצע לתקן את תקנה 45 לתקנות, כך שתקנה 137 לתקנות סדר הדין האזרחי, לא תחול. תקנה 137 (א) מתייחסת למועדים להגשת ערעור על החלטה, כאשר ביחס להליכים בבית המשפט לעניני משפחה נקבעו מועדים אחרים. תקנה 137 (ב) מתייחסת לאפשרות של המשיב בערעור להגיש ערעור שכנגד בתוך 60 ימים מהיום שבו הומצא לו הערעור. מכיוון שבהתקנות סדרי הדין במשפחה לא קיימת התייחסות לסוגיית הערעור שכנגד, </w:t>
      </w:r>
      <w:r w:rsidRPr="00A201C8">
        <w:rPr>
          <w:rFonts w:ascii="David" w:hAnsi="David"/>
          <w:noProof w:val="0"/>
          <w:rtl/>
        </w:rPr>
        <w:t>התוצאה</w:t>
      </w:r>
      <w:r w:rsidRPr="00B40998">
        <w:rPr>
          <w:rFonts w:ascii="David" w:hAnsi="David"/>
          <w:b/>
          <w:bCs/>
          <w:noProof w:val="0"/>
          <w:rtl/>
        </w:rPr>
        <w:t xml:space="preserve"> הפרשנית עשויה להיות שעקרונית המשיב בערעור רשאי להגיש ערעור נוסף. על מנת למנוע התארכות הליכים בהליכי משפחה ולאור העובדה שכמעט ולא נעשה</w:t>
      </w:r>
      <w:r w:rsidR="00791BAF" w:rsidRPr="00B40998">
        <w:rPr>
          <w:rFonts w:ascii="David" w:hAnsi="David"/>
          <w:b/>
          <w:bCs/>
          <w:noProof w:val="0"/>
          <w:rtl/>
        </w:rPr>
        <w:t xml:space="preserve"> </w:t>
      </w:r>
      <w:r w:rsidRPr="00B40998">
        <w:rPr>
          <w:rFonts w:ascii="David" w:hAnsi="David"/>
          <w:b/>
          <w:bCs/>
          <w:noProof w:val="0"/>
          <w:rtl/>
        </w:rPr>
        <w:t>שימוש במנגנון של ערעור שכנגד בהליכים אלה. מוצע שלא להחיל את תקנה 137 לתקנות סדר הדין האזרחי, כך שכל צד שמבקש להגיש ערעור, רשאי יהיה לעשות כן בהתאם למועד הקבוע בדין (בתוך 45 יום מההחלטה) ולא ניתן יהיה להגיש ערעור בתקופה נוספת."</w:t>
      </w:r>
    </w:p>
    <w:p w:rsidR="00694556" w:rsidRPr="00B40998" w:rsidRDefault="00791BAF" w:rsidP="00255FCC">
      <w:pPr>
        <w:pStyle w:val="ad"/>
        <w:spacing w:after="180" w:line="360" w:lineRule="auto"/>
        <w:ind w:left="652"/>
        <w:contextualSpacing w:val="0"/>
        <w:jc w:val="both"/>
        <w:rPr>
          <w:rFonts w:ascii="David" w:hAnsi="David"/>
          <w:noProof w:val="0"/>
        </w:rPr>
      </w:pPr>
      <w:r w:rsidRPr="00B40998">
        <w:rPr>
          <w:rFonts w:ascii="David" w:hAnsi="David"/>
          <w:noProof w:val="0"/>
          <w:rtl/>
        </w:rPr>
        <w:t>כלומר, התזכיר מסביר את</w:t>
      </w:r>
      <w:r w:rsidR="00255FCC">
        <w:rPr>
          <w:rFonts w:ascii="David" w:hAnsi="David" w:hint="cs"/>
          <w:noProof w:val="0"/>
          <w:rtl/>
        </w:rPr>
        <w:t xml:space="preserve"> </w:t>
      </w:r>
      <w:r w:rsidRPr="00B40998">
        <w:rPr>
          <w:rFonts w:ascii="David" w:hAnsi="David"/>
          <w:noProof w:val="0"/>
          <w:rtl/>
        </w:rPr>
        <w:t xml:space="preserve">כוונת התיקון למנוע </w:t>
      </w:r>
      <w:r w:rsidR="00255FCC">
        <w:rPr>
          <w:rFonts w:ascii="David" w:hAnsi="David" w:hint="cs"/>
          <w:noProof w:val="0"/>
          <w:rtl/>
        </w:rPr>
        <w:t xml:space="preserve">אפשרות </w:t>
      </w:r>
      <w:r w:rsidRPr="00B40998">
        <w:rPr>
          <w:rFonts w:ascii="David" w:hAnsi="David"/>
          <w:noProof w:val="0"/>
          <w:rtl/>
        </w:rPr>
        <w:t>הגשת ערעור משיב</w:t>
      </w:r>
      <w:r w:rsidR="00255FCC">
        <w:rPr>
          <w:rFonts w:ascii="David" w:hAnsi="David" w:hint="cs"/>
          <w:noProof w:val="0"/>
          <w:rtl/>
        </w:rPr>
        <w:t xml:space="preserve"> לאחר חלוף המועד להגשת ערעור על פסק הדין</w:t>
      </w:r>
      <w:r w:rsidRPr="00B40998">
        <w:rPr>
          <w:rFonts w:ascii="David" w:hAnsi="David"/>
          <w:noProof w:val="0"/>
          <w:rtl/>
        </w:rPr>
        <w:t>, כך שזכות שני הצדדים להגשת ערעור מוגבלת לתקופה של 45 ימים.</w:t>
      </w:r>
    </w:p>
    <w:p w:rsidR="00791BAF" w:rsidRPr="00B40998" w:rsidRDefault="00791BAF" w:rsidP="00E73D2E">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על רקע זה של </w:t>
      </w:r>
      <w:r w:rsidR="00255FCC">
        <w:rPr>
          <w:rFonts w:ascii="David" w:hAnsi="David" w:hint="cs"/>
          <w:noProof w:val="0"/>
          <w:rtl/>
        </w:rPr>
        <w:t>ל</w:t>
      </w:r>
      <w:r w:rsidRPr="00B40998">
        <w:rPr>
          <w:rFonts w:ascii="David" w:hAnsi="David"/>
          <w:noProof w:val="0"/>
          <w:rtl/>
        </w:rPr>
        <w:t>שון החקיקה והיסטוריה החקיקתית</w:t>
      </w:r>
      <w:r w:rsidR="00E73D2E">
        <w:rPr>
          <w:rFonts w:ascii="David" w:hAnsi="David" w:hint="cs"/>
          <w:noProof w:val="0"/>
          <w:rtl/>
        </w:rPr>
        <w:t xml:space="preserve"> </w:t>
      </w:r>
      <w:r w:rsidRPr="00B40998">
        <w:rPr>
          <w:rFonts w:ascii="David" w:hAnsi="David"/>
          <w:noProof w:val="0"/>
          <w:rtl/>
        </w:rPr>
        <w:t>יש להכריע</w:t>
      </w:r>
      <w:r w:rsidR="00E73D2E">
        <w:rPr>
          <w:rFonts w:ascii="David" w:hAnsi="David" w:hint="cs"/>
          <w:noProof w:val="0"/>
          <w:rtl/>
        </w:rPr>
        <w:t xml:space="preserve">, </w:t>
      </w:r>
      <w:r w:rsidRPr="00B40998">
        <w:rPr>
          <w:rFonts w:ascii="David" w:hAnsi="David"/>
          <w:noProof w:val="0"/>
          <w:rtl/>
        </w:rPr>
        <w:t xml:space="preserve">האם הפרשנות של תקנה 45(ד) </w:t>
      </w:r>
      <w:r w:rsidRPr="00255FCC">
        <w:rPr>
          <w:rFonts w:ascii="David" w:hAnsi="David"/>
          <w:b/>
          <w:bCs/>
          <w:noProof w:val="0"/>
          <w:rtl/>
        </w:rPr>
        <w:t>לאחר</w:t>
      </w:r>
      <w:r w:rsidRPr="00B40998">
        <w:rPr>
          <w:rFonts w:ascii="David" w:hAnsi="David"/>
          <w:noProof w:val="0"/>
          <w:rtl/>
        </w:rPr>
        <w:t xml:space="preserve"> תיקון</w:t>
      </w:r>
      <w:r w:rsidR="00272B3F">
        <w:rPr>
          <w:rFonts w:ascii="David" w:hAnsi="David" w:hint="cs"/>
          <w:noProof w:val="0"/>
          <w:rtl/>
        </w:rPr>
        <w:t xml:space="preserve"> 2022</w:t>
      </w:r>
      <w:r w:rsidRPr="00B40998">
        <w:rPr>
          <w:rFonts w:ascii="David" w:hAnsi="David"/>
          <w:noProof w:val="0"/>
          <w:rtl/>
        </w:rPr>
        <w:t xml:space="preserve"> הינה פרשנות המונעת הגשת ערעור משיב בענייני משפחה כטענת המערער כאן, או פרשנות המאפשרת הגשת ערעור משיב גם בענייני משפחה וזאת בתקופה של 45 יום לאחר הגשת הערעור העיקרי.</w:t>
      </w:r>
    </w:p>
    <w:p w:rsidR="00791BAF" w:rsidRPr="00B40998" w:rsidRDefault="00791BAF" w:rsidP="00B40998">
      <w:pPr>
        <w:spacing w:after="180" w:line="360" w:lineRule="auto"/>
        <w:ind w:left="-57"/>
        <w:jc w:val="both"/>
        <w:rPr>
          <w:rFonts w:ascii="David" w:hAnsi="David"/>
          <w:b/>
          <w:bCs/>
          <w:noProof w:val="0"/>
          <w:u w:val="single"/>
        </w:rPr>
      </w:pPr>
      <w:r w:rsidRPr="00B40998">
        <w:rPr>
          <w:rFonts w:ascii="David" w:hAnsi="David"/>
          <w:b/>
          <w:bCs/>
          <w:noProof w:val="0"/>
          <w:u w:val="single"/>
          <w:rtl/>
        </w:rPr>
        <w:t xml:space="preserve">פרשנות </w:t>
      </w:r>
      <w:r w:rsidR="00255FCC">
        <w:rPr>
          <w:rFonts w:ascii="David" w:hAnsi="David" w:hint="cs"/>
          <w:b/>
          <w:bCs/>
          <w:noProof w:val="0"/>
          <w:u w:val="single"/>
          <w:rtl/>
        </w:rPr>
        <w:t>ה</w:t>
      </w:r>
      <w:r w:rsidRPr="00B40998">
        <w:rPr>
          <w:rFonts w:ascii="David" w:hAnsi="David"/>
          <w:b/>
          <w:bCs/>
          <w:noProof w:val="0"/>
          <w:u w:val="single"/>
          <w:rtl/>
        </w:rPr>
        <w:t>חקיקה - כללי</w:t>
      </w:r>
    </w:p>
    <w:p w:rsidR="00791BAF" w:rsidRPr="00B40998" w:rsidRDefault="00255FCC" w:rsidP="00255FCC">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 xml:space="preserve">נראה כי אין תחום בו קיימת </w:t>
      </w:r>
      <w:r w:rsidR="005C42CF" w:rsidRPr="00B40998">
        <w:rPr>
          <w:rFonts w:ascii="David" w:hAnsi="David"/>
          <w:noProof w:val="0"/>
          <w:rtl/>
        </w:rPr>
        <w:t xml:space="preserve">כתיבה </w:t>
      </w:r>
      <w:r>
        <w:rPr>
          <w:rFonts w:ascii="David" w:hAnsi="David" w:hint="cs"/>
          <w:noProof w:val="0"/>
          <w:rtl/>
        </w:rPr>
        <w:t xml:space="preserve">כה ענפה, </w:t>
      </w:r>
      <w:r w:rsidR="005C42CF" w:rsidRPr="00B40998">
        <w:rPr>
          <w:rFonts w:ascii="David" w:hAnsi="David"/>
          <w:noProof w:val="0"/>
          <w:rtl/>
        </w:rPr>
        <w:t>הן במישור העיוני והן במישור הפסקתי</w:t>
      </w:r>
      <w:r>
        <w:rPr>
          <w:rFonts w:ascii="David" w:hAnsi="David" w:hint="cs"/>
          <w:noProof w:val="0"/>
          <w:rtl/>
        </w:rPr>
        <w:t>, כמו תחום פרשנות החקיקה.</w:t>
      </w:r>
      <w:r w:rsidR="005C42CF" w:rsidRPr="00B40998">
        <w:rPr>
          <w:rFonts w:ascii="David" w:hAnsi="David"/>
          <w:noProof w:val="0"/>
          <w:rtl/>
        </w:rPr>
        <w:t xml:space="preserve"> על התפתחות פרשנות החקיקה</w:t>
      </w:r>
      <w:r>
        <w:rPr>
          <w:rFonts w:ascii="David" w:hAnsi="David" w:hint="cs"/>
          <w:noProof w:val="0"/>
          <w:rtl/>
        </w:rPr>
        <w:t xml:space="preserve"> בישראל</w:t>
      </w:r>
      <w:r w:rsidR="005C42CF" w:rsidRPr="00B40998">
        <w:rPr>
          <w:rFonts w:ascii="David" w:hAnsi="David"/>
          <w:noProof w:val="0"/>
          <w:rtl/>
        </w:rPr>
        <w:t>, ר' שמעון נטף,</w:t>
      </w:r>
      <w:r w:rsidR="005C42CF" w:rsidRPr="00B40998">
        <w:rPr>
          <w:rFonts w:ascii="David" w:hAnsi="David"/>
          <w:b/>
          <w:bCs/>
          <w:noProof w:val="0"/>
          <w:rtl/>
        </w:rPr>
        <w:t xml:space="preserve"> 'פרשנות החקיקה בישראל'</w:t>
      </w:r>
      <w:r w:rsidR="005C42CF" w:rsidRPr="00B40998">
        <w:rPr>
          <w:rFonts w:ascii="David" w:hAnsi="David"/>
          <w:noProof w:val="0"/>
          <w:rtl/>
        </w:rPr>
        <w:t xml:space="preserve"> (</w:t>
      </w:r>
      <w:r w:rsidR="00231F67" w:rsidRPr="00B40998">
        <w:rPr>
          <w:rFonts w:ascii="David" w:hAnsi="David"/>
          <w:noProof w:val="0"/>
          <w:rtl/>
        </w:rPr>
        <w:t>בורסי, 2023</w:t>
      </w:r>
      <w:r w:rsidR="005C42CF" w:rsidRPr="00B40998">
        <w:rPr>
          <w:rFonts w:ascii="David" w:hAnsi="David"/>
          <w:noProof w:val="0"/>
          <w:rtl/>
        </w:rPr>
        <w:t>).</w:t>
      </w:r>
    </w:p>
    <w:p w:rsidR="00E73D2E" w:rsidRDefault="00255FCC" w:rsidP="00E73D2E">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lastRenderedPageBreak/>
        <w:t xml:space="preserve">עם זאת, </w:t>
      </w:r>
      <w:r w:rsidR="005C42CF" w:rsidRPr="00B40998">
        <w:rPr>
          <w:rFonts w:ascii="David" w:hAnsi="David"/>
          <w:noProof w:val="0"/>
          <w:rtl/>
        </w:rPr>
        <w:t xml:space="preserve">לצורך ההכרעה בערעור זה, אין צורך להיכנס לתורות </w:t>
      </w:r>
      <w:r w:rsidR="00E73D2E">
        <w:rPr>
          <w:rFonts w:ascii="David" w:hAnsi="David" w:hint="cs"/>
          <w:noProof w:val="0"/>
          <w:rtl/>
        </w:rPr>
        <w:t xml:space="preserve">השונות בדבר </w:t>
      </w:r>
      <w:r w:rsidR="005C42CF" w:rsidRPr="00B40998">
        <w:rPr>
          <w:rFonts w:ascii="David" w:hAnsi="David"/>
          <w:noProof w:val="0"/>
          <w:rtl/>
        </w:rPr>
        <w:t>פרשנות ה</w:t>
      </w:r>
      <w:r w:rsidR="00E73D2E">
        <w:rPr>
          <w:rFonts w:ascii="David" w:hAnsi="David" w:hint="cs"/>
          <w:noProof w:val="0"/>
          <w:rtl/>
        </w:rPr>
        <w:t>חקיקה</w:t>
      </w:r>
      <w:r w:rsidR="005C42CF" w:rsidRPr="00B40998">
        <w:rPr>
          <w:rFonts w:ascii="David" w:hAnsi="David"/>
          <w:noProof w:val="0"/>
          <w:rtl/>
        </w:rPr>
        <w:t xml:space="preserve"> ולהבחנות ביניה</w:t>
      </w:r>
      <w:r w:rsidR="00E73D2E">
        <w:rPr>
          <w:rFonts w:ascii="David" w:hAnsi="David" w:hint="cs"/>
          <w:noProof w:val="0"/>
          <w:rtl/>
        </w:rPr>
        <w:t>ן</w:t>
      </w:r>
      <w:r w:rsidR="00231F67" w:rsidRPr="00B40998">
        <w:rPr>
          <w:rFonts w:ascii="David" w:hAnsi="David"/>
          <w:noProof w:val="0"/>
          <w:rtl/>
        </w:rPr>
        <w:t>, כאשר לעניין פרשנות המשפט האזרחי</w:t>
      </w:r>
      <w:r>
        <w:rPr>
          <w:rFonts w:ascii="David" w:hAnsi="David" w:hint="cs"/>
          <w:noProof w:val="0"/>
          <w:rtl/>
        </w:rPr>
        <w:t xml:space="preserve"> ובפרט </w:t>
      </w:r>
      <w:r w:rsidR="00E73D2E">
        <w:rPr>
          <w:rFonts w:ascii="David" w:hAnsi="David" w:hint="cs"/>
          <w:noProof w:val="0"/>
          <w:rtl/>
        </w:rPr>
        <w:t xml:space="preserve">הענף </w:t>
      </w:r>
      <w:r>
        <w:rPr>
          <w:rFonts w:ascii="David" w:hAnsi="David" w:hint="cs"/>
          <w:noProof w:val="0"/>
          <w:rtl/>
        </w:rPr>
        <w:t>הדיוני</w:t>
      </w:r>
      <w:r w:rsidR="00231F67" w:rsidRPr="00B40998">
        <w:rPr>
          <w:rFonts w:ascii="David" w:hAnsi="David"/>
          <w:noProof w:val="0"/>
          <w:rtl/>
        </w:rPr>
        <w:t xml:space="preserve">, הגישה השלטת </w:t>
      </w:r>
      <w:r>
        <w:rPr>
          <w:rFonts w:ascii="David" w:hAnsi="David" w:hint="cs"/>
          <w:noProof w:val="0"/>
          <w:rtl/>
        </w:rPr>
        <w:t>כ</w:t>
      </w:r>
      <w:r w:rsidR="00231F67" w:rsidRPr="00B40998">
        <w:rPr>
          <w:rFonts w:ascii="David" w:hAnsi="David"/>
          <w:noProof w:val="0"/>
          <w:rtl/>
        </w:rPr>
        <w:t>יום הינה</w:t>
      </w:r>
      <w:r>
        <w:rPr>
          <w:rFonts w:ascii="David" w:hAnsi="David" w:hint="cs"/>
          <w:noProof w:val="0"/>
          <w:rtl/>
        </w:rPr>
        <w:t xml:space="preserve"> ברורה יחסית.</w:t>
      </w:r>
    </w:p>
    <w:p w:rsidR="005C42CF" w:rsidRPr="00B40998" w:rsidRDefault="00255FCC" w:rsidP="00E73D2E">
      <w:pPr>
        <w:pStyle w:val="ad"/>
        <w:spacing w:after="180" w:line="360" w:lineRule="auto"/>
        <w:ind w:left="652"/>
        <w:contextualSpacing w:val="0"/>
        <w:jc w:val="both"/>
        <w:rPr>
          <w:rFonts w:ascii="David" w:hAnsi="David"/>
          <w:noProof w:val="0"/>
        </w:rPr>
      </w:pPr>
      <w:r>
        <w:rPr>
          <w:rFonts w:ascii="David" w:hAnsi="David" w:hint="cs"/>
          <w:noProof w:val="0"/>
          <w:rtl/>
        </w:rPr>
        <w:t xml:space="preserve">על פי גישה זו, </w:t>
      </w:r>
      <w:r w:rsidR="00231F67" w:rsidRPr="00B40998">
        <w:rPr>
          <w:rFonts w:ascii="David" w:hAnsi="David"/>
          <w:noProof w:val="0"/>
          <w:rtl/>
        </w:rPr>
        <w:t xml:space="preserve">נקודת המוצא לפרשנות </w:t>
      </w:r>
      <w:r w:rsidR="00990B6B">
        <w:rPr>
          <w:rFonts w:ascii="David" w:hAnsi="David" w:hint="cs"/>
          <w:noProof w:val="0"/>
          <w:rtl/>
        </w:rPr>
        <w:t xml:space="preserve">החקיקה האזרחית </w:t>
      </w:r>
      <w:r w:rsidR="00231F67" w:rsidRPr="00B40998">
        <w:rPr>
          <w:rFonts w:ascii="David" w:hAnsi="David"/>
          <w:noProof w:val="0"/>
          <w:rtl/>
        </w:rPr>
        <w:t>הינה לשון החוק, וכאשר זו ניתנת לפירושים שונים, יש ל</w:t>
      </w:r>
      <w:r w:rsidR="00361CDF" w:rsidRPr="00B40998">
        <w:rPr>
          <w:rFonts w:ascii="David" w:hAnsi="David"/>
          <w:noProof w:val="0"/>
          <w:rtl/>
        </w:rPr>
        <w:t>פנות תחילה לתכלית הסובייקטיבית העולה מדברי ההסבר וההיסטוריה החקיקתית, וכאשר</w:t>
      </w:r>
      <w:r w:rsidR="00990B6B">
        <w:rPr>
          <w:rFonts w:ascii="David" w:hAnsi="David" w:hint="cs"/>
          <w:noProof w:val="0"/>
          <w:rtl/>
        </w:rPr>
        <w:t xml:space="preserve"> התכלית הסובייקטיבית </w:t>
      </w:r>
      <w:r w:rsidR="00361CDF" w:rsidRPr="00B40998">
        <w:rPr>
          <w:rFonts w:ascii="David" w:hAnsi="David"/>
          <w:noProof w:val="0"/>
          <w:rtl/>
        </w:rPr>
        <w:t>אינ</w:t>
      </w:r>
      <w:r w:rsidR="00990B6B">
        <w:rPr>
          <w:rFonts w:ascii="David" w:hAnsi="David" w:hint="cs"/>
          <w:noProof w:val="0"/>
          <w:rtl/>
        </w:rPr>
        <w:t>ה</w:t>
      </w:r>
      <w:r w:rsidR="00361CDF" w:rsidRPr="00B40998">
        <w:rPr>
          <w:rFonts w:ascii="David" w:hAnsi="David"/>
          <w:noProof w:val="0"/>
          <w:rtl/>
        </w:rPr>
        <w:t xml:space="preserve"> ברור</w:t>
      </w:r>
      <w:r w:rsidR="00990B6B">
        <w:rPr>
          <w:rFonts w:ascii="David" w:hAnsi="David" w:hint="cs"/>
          <w:noProof w:val="0"/>
          <w:rtl/>
        </w:rPr>
        <w:t>ה, יש</w:t>
      </w:r>
      <w:r w:rsidR="00361CDF" w:rsidRPr="00B40998">
        <w:rPr>
          <w:rFonts w:ascii="David" w:hAnsi="David"/>
          <w:noProof w:val="0"/>
          <w:rtl/>
        </w:rPr>
        <w:t xml:space="preserve"> לבחון את התכלית האובייקטיבית</w:t>
      </w:r>
      <w:r w:rsidR="00990B6B">
        <w:rPr>
          <w:rFonts w:ascii="David" w:hAnsi="David" w:hint="cs"/>
          <w:noProof w:val="0"/>
          <w:rtl/>
        </w:rPr>
        <w:t>, זו</w:t>
      </w:r>
      <w:r w:rsidR="00361CDF" w:rsidRPr="00B40998">
        <w:rPr>
          <w:rFonts w:ascii="David" w:hAnsi="David"/>
          <w:noProof w:val="0"/>
          <w:rtl/>
        </w:rPr>
        <w:t xml:space="preserve"> </w:t>
      </w:r>
      <w:r w:rsidR="00231F67" w:rsidRPr="00B40998">
        <w:rPr>
          <w:rFonts w:ascii="David" w:hAnsi="David"/>
          <w:noProof w:val="0"/>
          <w:rtl/>
        </w:rPr>
        <w:t>המגשימה בצורה הטובה ביותר את</w:t>
      </w:r>
      <w:r w:rsidR="00361CDF" w:rsidRPr="00B40998">
        <w:rPr>
          <w:rFonts w:ascii="David" w:hAnsi="David"/>
          <w:noProof w:val="0"/>
          <w:rtl/>
        </w:rPr>
        <w:t xml:space="preserve"> עקרונות היסוד</w:t>
      </w:r>
      <w:r w:rsidR="00231F67" w:rsidRPr="00B40998">
        <w:rPr>
          <w:rFonts w:ascii="David" w:hAnsi="David"/>
          <w:noProof w:val="0"/>
          <w:rtl/>
        </w:rPr>
        <w:t>.</w:t>
      </w:r>
    </w:p>
    <w:p w:rsidR="00231F67" w:rsidRPr="00B40998" w:rsidRDefault="00990B6B" w:rsidP="00990B6B">
      <w:pPr>
        <w:pStyle w:val="ad"/>
        <w:spacing w:after="180" w:line="360" w:lineRule="auto"/>
        <w:ind w:left="652"/>
        <w:contextualSpacing w:val="0"/>
        <w:jc w:val="both"/>
        <w:rPr>
          <w:rFonts w:ascii="David" w:hAnsi="David"/>
          <w:noProof w:val="0"/>
          <w:rtl/>
        </w:rPr>
      </w:pPr>
      <w:r>
        <w:rPr>
          <w:rFonts w:ascii="David" w:hAnsi="David" w:hint="cs"/>
          <w:noProof w:val="0"/>
          <w:rtl/>
        </w:rPr>
        <w:t xml:space="preserve">לעניין דרך </w:t>
      </w:r>
      <w:r w:rsidR="00E73D2E">
        <w:rPr>
          <w:rFonts w:ascii="David" w:hAnsi="David" w:hint="cs"/>
          <w:noProof w:val="0"/>
          <w:rtl/>
        </w:rPr>
        <w:t xml:space="preserve">פרשנית </w:t>
      </w:r>
      <w:r>
        <w:rPr>
          <w:rFonts w:ascii="David" w:hAnsi="David" w:hint="cs"/>
          <w:noProof w:val="0"/>
          <w:rtl/>
        </w:rPr>
        <w:t xml:space="preserve">זו, </w:t>
      </w:r>
      <w:r w:rsidR="00231F67" w:rsidRPr="00B40998">
        <w:rPr>
          <w:rFonts w:ascii="David" w:hAnsi="David"/>
          <w:noProof w:val="0"/>
          <w:rtl/>
        </w:rPr>
        <w:t xml:space="preserve">ר', למשל, ע"מ 2255/19 </w:t>
      </w:r>
      <w:r w:rsidR="00231F67" w:rsidRPr="00B40998">
        <w:rPr>
          <w:rFonts w:ascii="David" w:hAnsi="David"/>
          <w:b/>
          <w:bCs/>
          <w:noProof w:val="0"/>
          <w:rtl/>
        </w:rPr>
        <w:t>פלוני נ' פלונית</w:t>
      </w:r>
      <w:r w:rsidR="00231F67" w:rsidRPr="00B40998">
        <w:rPr>
          <w:rFonts w:ascii="David" w:hAnsi="David"/>
          <w:noProof w:val="0"/>
          <w:rtl/>
        </w:rPr>
        <w:t xml:space="preserve"> [פורסם במאגר נבו] (23.2.2020)</w:t>
      </w:r>
      <w:r w:rsidR="000A3F94" w:rsidRPr="00B40998">
        <w:rPr>
          <w:rFonts w:ascii="David" w:hAnsi="David"/>
          <w:noProof w:val="0"/>
          <w:rtl/>
        </w:rPr>
        <w:t xml:space="preserve"> (להלן:</w:t>
      </w:r>
      <w:r w:rsidR="000A3F94" w:rsidRPr="00B40998">
        <w:rPr>
          <w:rFonts w:ascii="David" w:hAnsi="David"/>
          <w:b/>
          <w:bCs/>
          <w:noProof w:val="0"/>
          <w:rtl/>
        </w:rPr>
        <w:t xml:space="preserve"> "עניין פלוני"</w:t>
      </w:r>
      <w:r w:rsidR="000A3F94" w:rsidRPr="00B40998">
        <w:rPr>
          <w:rFonts w:ascii="David" w:hAnsi="David"/>
          <w:noProof w:val="0"/>
          <w:rtl/>
        </w:rPr>
        <w:t>)</w:t>
      </w:r>
      <w:r w:rsidR="00231F67" w:rsidRPr="00B40998">
        <w:rPr>
          <w:rFonts w:ascii="David" w:hAnsi="David"/>
          <w:noProof w:val="0"/>
          <w:rtl/>
        </w:rPr>
        <w:t>:</w:t>
      </w:r>
    </w:p>
    <w:p w:rsidR="00231F67" w:rsidRPr="00B40998" w:rsidRDefault="00231F67" w:rsidP="00B40998">
      <w:pPr>
        <w:pStyle w:val="ad"/>
        <w:spacing w:after="180" w:line="360" w:lineRule="auto"/>
        <w:ind w:left="1077" w:right="426"/>
        <w:contextualSpacing w:val="0"/>
        <w:jc w:val="both"/>
        <w:rPr>
          <w:rFonts w:ascii="David" w:hAnsi="David"/>
          <w:b/>
          <w:bCs/>
          <w:noProof w:val="0"/>
        </w:rPr>
      </w:pPr>
      <w:r w:rsidRPr="00B40998">
        <w:rPr>
          <w:rFonts w:ascii="David" w:hAnsi="David"/>
          <w:b/>
          <w:bCs/>
          <w:noProof w:val="0"/>
          <w:rtl/>
        </w:rPr>
        <w:t xml:space="preserve">"כידוע, בפרשנותו של דבר חקיקה שומה עלינו </w:t>
      </w:r>
      <w:r w:rsidRPr="00B40998">
        <w:rPr>
          <w:rFonts w:ascii="David" w:hAnsi="David"/>
          <w:b/>
          <w:bCs/>
          <w:noProof w:val="0"/>
          <w:u w:val="single"/>
          <w:rtl/>
        </w:rPr>
        <w:t>לפתוח בלשון החוק</w:t>
      </w:r>
      <w:r w:rsidRPr="00B40998">
        <w:rPr>
          <w:rFonts w:ascii="David" w:hAnsi="David"/>
          <w:b/>
          <w:bCs/>
          <w:noProof w:val="0"/>
          <w:rtl/>
        </w:rPr>
        <w:t xml:space="preserve">, היא התוחמת את גבולותיו של מתחם הפרשנות. ברם, כאשר לשון החוק טומנת בחובה מספר משמעויות שונות, אזי נדרש השופט-הפרשן לבחור מביניהן את המשמעות אשר מגשימה בצורה המיטבית את תכליתו של דבר החקיקה. בבחינת התכלית החקיקתית יש לפנות </w:t>
      </w:r>
      <w:r w:rsidRPr="00B40998">
        <w:rPr>
          <w:rFonts w:ascii="David" w:hAnsi="David"/>
          <w:b/>
          <w:bCs/>
          <w:noProof w:val="0"/>
          <w:u w:val="single"/>
          <w:rtl/>
        </w:rPr>
        <w:t xml:space="preserve">תחילה </w:t>
      </w:r>
      <w:r w:rsidRPr="00B40998">
        <w:rPr>
          <w:rFonts w:ascii="David" w:hAnsi="David"/>
          <w:b/>
          <w:bCs/>
          <w:noProof w:val="0"/>
          <w:rtl/>
        </w:rPr>
        <w:t xml:space="preserve">אל התכלית הסובייקטיבית, כפי שזו באה לידי ביטוי </w:t>
      </w:r>
      <w:r w:rsidRPr="00B40998">
        <w:rPr>
          <w:rFonts w:ascii="David" w:hAnsi="David"/>
          <w:b/>
          <w:bCs/>
          <w:noProof w:val="0"/>
          <w:u w:val="single"/>
          <w:rtl/>
        </w:rPr>
        <w:t>בדברי ההסבר, במבנה החוק ובהיסטוריה החקיקתית</w:t>
      </w:r>
      <w:r w:rsidRPr="00B40998">
        <w:rPr>
          <w:rFonts w:ascii="David" w:hAnsi="David"/>
          <w:b/>
          <w:bCs/>
          <w:noProof w:val="0"/>
          <w:rtl/>
        </w:rPr>
        <w:t xml:space="preserve">. ואולם, כאשר התכלית הסובייקטיבית אינה ברורה, אמינה ומוצקה, אזי יש לפנות גם אל </w:t>
      </w:r>
      <w:r w:rsidRPr="00E73D2E">
        <w:rPr>
          <w:rFonts w:ascii="David" w:hAnsi="David"/>
          <w:b/>
          <w:bCs/>
          <w:noProof w:val="0"/>
          <w:u w:val="single"/>
          <w:rtl/>
        </w:rPr>
        <w:t>התכלית האובייקטיבית</w:t>
      </w:r>
      <w:r w:rsidRPr="00B40998">
        <w:rPr>
          <w:rFonts w:ascii="David" w:hAnsi="David"/>
          <w:b/>
          <w:bCs/>
          <w:noProof w:val="0"/>
          <w:rtl/>
        </w:rPr>
        <w:t xml:space="preserve"> של הוראת החוק הנדונה, שעניינה בעקרונות אשר ראוי כי דבר חקיקה בשיטת משפט דמוקרטית יפעל להגשמתם"</w:t>
      </w:r>
      <w:r w:rsidR="00361CDF" w:rsidRPr="00B40998">
        <w:rPr>
          <w:rFonts w:ascii="David" w:hAnsi="David"/>
          <w:noProof w:val="0"/>
          <w:rtl/>
        </w:rPr>
        <w:t xml:space="preserve"> (הדגשה אינה במקור – ג.ה).</w:t>
      </w:r>
      <w:r w:rsidR="00361CDF" w:rsidRPr="00B40998">
        <w:rPr>
          <w:rFonts w:ascii="David" w:hAnsi="David"/>
          <w:b/>
          <w:bCs/>
          <w:noProof w:val="0"/>
          <w:rtl/>
        </w:rPr>
        <w:t xml:space="preserve"> </w:t>
      </w:r>
    </w:p>
    <w:p w:rsidR="005C42CF" w:rsidRPr="00B40998" w:rsidRDefault="00361CDF" w:rsidP="00E73D2E">
      <w:pPr>
        <w:pStyle w:val="ad"/>
        <w:spacing w:after="180" w:line="360" w:lineRule="auto"/>
        <w:contextualSpacing w:val="0"/>
        <w:jc w:val="both"/>
        <w:rPr>
          <w:rFonts w:ascii="David" w:hAnsi="David"/>
          <w:noProof w:val="0"/>
          <w:rtl/>
        </w:rPr>
      </w:pPr>
      <w:r w:rsidRPr="00B40998">
        <w:rPr>
          <w:rFonts w:ascii="David" w:hAnsi="David"/>
          <w:noProof w:val="0"/>
          <w:rtl/>
        </w:rPr>
        <w:t xml:space="preserve">ור' </w:t>
      </w:r>
      <w:r w:rsidR="00E73D2E">
        <w:rPr>
          <w:rFonts w:ascii="David" w:hAnsi="David" w:hint="cs"/>
          <w:noProof w:val="0"/>
          <w:rtl/>
        </w:rPr>
        <w:t xml:space="preserve">דעה דומה </w:t>
      </w:r>
      <w:r w:rsidRPr="00B40998">
        <w:rPr>
          <w:rFonts w:ascii="David" w:hAnsi="David"/>
          <w:noProof w:val="0"/>
          <w:rtl/>
        </w:rPr>
        <w:t xml:space="preserve">גם </w:t>
      </w:r>
      <w:r w:rsidR="00E73D2E">
        <w:rPr>
          <w:rFonts w:ascii="David" w:hAnsi="David" w:hint="cs"/>
          <w:noProof w:val="0"/>
          <w:rtl/>
        </w:rPr>
        <w:t>ב</w:t>
      </w:r>
      <w:r w:rsidRPr="00B40998">
        <w:rPr>
          <w:rFonts w:ascii="David" w:hAnsi="David"/>
          <w:noProof w:val="0"/>
          <w:rtl/>
        </w:rPr>
        <w:t xml:space="preserve">ע"א 71/18 </w:t>
      </w:r>
      <w:r w:rsidRPr="00B40998">
        <w:rPr>
          <w:rFonts w:ascii="David" w:hAnsi="David"/>
          <w:b/>
          <w:bCs/>
          <w:noProof w:val="0"/>
          <w:rtl/>
        </w:rPr>
        <w:t>הרשות הפלסטינית נ' יורשי המנוחה שרון בן שלום ז"ל</w:t>
      </w:r>
      <w:r w:rsidRPr="00B40998">
        <w:rPr>
          <w:rFonts w:ascii="David" w:hAnsi="David"/>
          <w:noProof w:val="0"/>
          <w:rtl/>
        </w:rPr>
        <w:t xml:space="preserve"> [פורסם במאגר נבו] (</w:t>
      </w:r>
      <w:r w:rsidR="003E4376" w:rsidRPr="00B40998">
        <w:rPr>
          <w:rFonts w:ascii="David" w:hAnsi="David"/>
          <w:noProof w:val="0"/>
          <w:rtl/>
        </w:rPr>
        <w:t>10.3.2021) בפסקה 98 לפסק הדין.</w:t>
      </w:r>
    </w:p>
    <w:p w:rsidR="003E4376" w:rsidRPr="00B40998" w:rsidRDefault="003E4376"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על רקע כללי פרשנות אלו, אבחן את הסוגיה שלפניי.</w:t>
      </w:r>
    </w:p>
    <w:p w:rsidR="003E4376" w:rsidRPr="00B40998" w:rsidRDefault="003E4376" w:rsidP="00B40998">
      <w:pPr>
        <w:spacing w:after="180" w:line="360" w:lineRule="auto"/>
        <w:ind w:left="-57"/>
        <w:jc w:val="both"/>
        <w:rPr>
          <w:rFonts w:ascii="David" w:hAnsi="David"/>
          <w:b/>
          <w:bCs/>
          <w:noProof w:val="0"/>
          <w:u w:val="single"/>
        </w:rPr>
      </w:pPr>
      <w:r w:rsidRPr="00B40998">
        <w:rPr>
          <w:rFonts w:ascii="David" w:hAnsi="David"/>
          <w:b/>
          <w:bCs/>
          <w:noProof w:val="0"/>
          <w:u w:val="single"/>
          <w:rtl/>
        </w:rPr>
        <w:t>לשון החקיקה</w:t>
      </w:r>
    </w:p>
    <w:p w:rsidR="003E4376" w:rsidRPr="00B40998" w:rsidRDefault="00507F00"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טרם אבחן את לשון החקיקה במקרה שלפניי, ראוי להבהיר ולחדד נקודה מסוימת</w:t>
      </w:r>
      <w:r w:rsidR="00990B6B">
        <w:rPr>
          <w:rFonts w:ascii="David" w:hAnsi="David" w:hint="cs"/>
          <w:noProof w:val="0"/>
          <w:rtl/>
        </w:rPr>
        <w:t xml:space="preserve"> ביחס לסוגיה הפרשנית העומדת לפתחי.</w:t>
      </w:r>
    </w:p>
    <w:p w:rsidR="00507F00" w:rsidRPr="00B40998" w:rsidRDefault="00507F00" w:rsidP="00990B6B">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השאלה שעומדת לפניי </w:t>
      </w:r>
      <w:r w:rsidRPr="00990B6B">
        <w:rPr>
          <w:rFonts w:ascii="David" w:hAnsi="David"/>
          <w:b/>
          <w:bCs/>
          <w:noProof w:val="0"/>
          <w:rtl/>
        </w:rPr>
        <w:t>אינה</w:t>
      </w:r>
      <w:r w:rsidRPr="00B40998">
        <w:rPr>
          <w:rFonts w:ascii="David" w:hAnsi="David"/>
          <w:noProof w:val="0"/>
          <w:rtl/>
        </w:rPr>
        <w:t xml:space="preserve"> שאלת זכותם של הצדדים</w:t>
      </w:r>
      <w:r w:rsidR="00990B6B">
        <w:rPr>
          <w:rFonts w:ascii="David" w:hAnsi="David" w:hint="cs"/>
          <w:noProof w:val="0"/>
          <w:rtl/>
        </w:rPr>
        <w:t xml:space="preserve"> להליך בבית המשפט לענייני משפחה </w:t>
      </w:r>
      <w:r w:rsidRPr="00B40998">
        <w:rPr>
          <w:rFonts w:ascii="David" w:hAnsi="David"/>
          <w:noProof w:val="0"/>
          <w:rtl/>
        </w:rPr>
        <w:t xml:space="preserve"> להגיש ערעור על פסק הדין</w:t>
      </w:r>
      <w:r w:rsidR="00990B6B">
        <w:rPr>
          <w:rFonts w:ascii="David" w:hAnsi="David" w:hint="cs"/>
          <w:noProof w:val="0"/>
          <w:rtl/>
        </w:rPr>
        <w:t>.</w:t>
      </w:r>
      <w:r w:rsidRPr="00B40998">
        <w:rPr>
          <w:rFonts w:ascii="David" w:hAnsi="David"/>
          <w:noProof w:val="0"/>
          <w:rtl/>
        </w:rPr>
        <w:t xml:space="preserve"> </w:t>
      </w:r>
      <w:r w:rsidR="00990B6B">
        <w:rPr>
          <w:rFonts w:ascii="David" w:hAnsi="David" w:hint="cs"/>
          <w:noProof w:val="0"/>
          <w:rtl/>
        </w:rPr>
        <w:t xml:space="preserve">לעניין זה, </w:t>
      </w:r>
      <w:r w:rsidRPr="00B40998">
        <w:rPr>
          <w:rFonts w:ascii="David" w:hAnsi="David"/>
          <w:noProof w:val="0"/>
          <w:rtl/>
        </w:rPr>
        <w:t xml:space="preserve">אין חולק ואין עוררין כי לכלל הצדדים לדיון בפני בית המשפט לענייני משפחה יש </w:t>
      </w:r>
      <w:r w:rsidRPr="00990B6B">
        <w:rPr>
          <w:rFonts w:ascii="David" w:hAnsi="David"/>
          <w:b/>
          <w:bCs/>
          <w:noProof w:val="0"/>
          <w:rtl/>
        </w:rPr>
        <w:t>זכות</w:t>
      </w:r>
      <w:r w:rsidRPr="00B40998">
        <w:rPr>
          <w:rFonts w:ascii="David" w:hAnsi="David"/>
          <w:noProof w:val="0"/>
          <w:rtl/>
        </w:rPr>
        <w:t xml:space="preserve"> להגיש ערעור על פסק הדין וזאת בתוך 45 יום מיום המצאת פסק הדין.</w:t>
      </w:r>
    </w:p>
    <w:p w:rsidR="00990B6B" w:rsidRDefault="00507F00"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lastRenderedPageBreak/>
        <w:t xml:space="preserve">מכאן, השאלה שלפניי הינה רק שאלת </w:t>
      </w:r>
      <w:r w:rsidRPr="00B40998">
        <w:rPr>
          <w:rFonts w:ascii="David" w:hAnsi="David"/>
          <w:b/>
          <w:bCs/>
          <w:noProof w:val="0"/>
          <w:rtl/>
        </w:rPr>
        <w:t>המועד</w:t>
      </w:r>
      <w:r w:rsidRPr="00B40998">
        <w:rPr>
          <w:rFonts w:ascii="David" w:hAnsi="David"/>
          <w:noProof w:val="0"/>
          <w:rtl/>
        </w:rPr>
        <w:t xml:space="preserve"> להגשת הערעור. לעניין זה, טוען כאמור המערער</w:t>
      </w:r>
      <w:r w:rsidR="00990B6B">
        <w:rPr>
          <w:rFonts w:ascii="David" w:hAnsi="David" w:hint="cs"/>
          <w:noProof w:val="0"/>
          <w:rtl/>
        </w:rPr>
        <w:t>,</w:t>
      </w:r>
      <w:r w:rsidRPr="00B40998">
        <w:rPr>
          <w:rFonts w:ascii="David" w:hAnsi="David"/>
          <w:noProof w:val="0"/>
          <w:rtl/>
        </w:rPr>
        <w:t xml:space="preserve"> כי </w:t>
      </w:r>
      <w:r w:rsidRPr="00B40998">
        <w:rPr>
          <w:rFonts w:ascii="David" w:hAnsi="David"/>
          <w:b/>
          <w:bCs/>
          <w:noProof w:val="0"/>
          <w:rtl/>
        </w:rPr>
        <w:t>המועד</w:t>
      </w:r>
      <w:r w:rsidRPr="00B40998">
        <w:rPr>
          <w:rFonts w:ascii="David" w:hAnsi="David"/>
          <w:noProof w:val="0"/>
          <w:rtl/>
        </w:rPr>
        <w:t xml:space="preserve"> להגשת הערעור מטעם המשיב, ולמעשה מטעם כל צד לדיון בפני בית המשפט לענייני משפחה, הוא 45 יום מיום המצאת פסק הדין.</w:t>
      </w:r>
    </w:p>
    <w:p w:rsidR="00507F00" w:rsidRPr="00B40998" w:rsidRDefault="00507F00"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מצד שני, טוענת המשיבה, כי </w:t>
      </w:r>
      <w:r w:rsidRPr="00B40998">
        <w:rPr>
          <w:rFonts w:ascii="David" w:hAnsi="David"/>
          <w:b/>
          <w:bCs/>
          <w:noProof w:val="0"/>
          <w:rtl/>
        </w:rPr>
        <w:t>המועד</w:t>
      </w:r>
      <w:r w:rsidRPr="00B40998">
        <w:rPr>
          <w:rFonts w:ascii="David" w:hAnsi="David"/>
          <w:noProof w:val="0"/>
          <w:rtl/>
        </w:rPr>
        <w:t xml:space="preserve"> להגשת הערעור הראשון על פסק הדין של בית המשפט לענייני משפחה הוא</w:t>
      </w:r>
      <w:r w:rsidR="00E73D2E">
        <w:rPr>
          <w:rFonts w:ascii="David" w:hAnsi="David"/>
          <w:noProof w:val="0"/>
          <w:rtl/>
        </w:rPr>
        <w:t xml:space="preserve"> אכן 45 יום מיום המצאת פסק הדין</w:t>
      </w:r>
      <w:r w:rsidR="00E73D2E">
        <w:rPr>
          <w:rFonts w:ascii="David" w:hAnsi="David" w:hint="cs"/>
          <w:noProof w:val="0"/>
          <w:rtl/>
        </w:rPr>
        <w:t>.</w:t>
      </w:r>
      <w:r w:rsidRPr="00B40998">
        <w:rPr>
          <w:rFonts w:ascii="David" w:hAnsi="David"/>
          <w:noProof w:val="0"/>
          <w:rtl/>
        </w:rPr>
        <w:t xml:space="preserve"> אולם</w:t>
      </w:r>
      <w:r w:rsidR="00E73D2E">
        <w:rPr>
          <w:rFonts w:ascii="David" w:hAnsi="David" w:hint="cs"/>
          <w:noProof w:val="0"/>
          <w:rtl/>
        </w:rPr>
        <w:t>, לטענתה,</w:t>
      </w:r>
      <w:r w:rsidRPr="00B40998">
        <w:rPr>
          <w:rFonts w:ascii="David" w:hAnsi="David"/>
          <w:noProof w:val="0"/>
          <w:rtl/>
        </w:rPr>
        <w:t xml:space="preserve"> </w:t>
      </w:r>
      <w:r w:rsidR="00D47EC0" w:rsidRPr="00B40998">
        <w:rPr>
          <w:rFonts w:ascii="David" w:hAnsi="David"/>
          <w:noProof w:val="0"/>
          <w:rtl/>
        </w:rPr>
        <w:t>ל</w:t>
      </w:r>
      <w:r w:rsidR="00990B6B">
        <w:rPr>
          <w:rFonts w:ascii="David" w:hAnsi="David" w:hint="cs"/>
          <w:noProof w:val="0"/>
          <w:rtl/>
        </w:rPr>
        <w:t xml:space="preserve">גבי </w:t>
      </w:r>
      <w:r w:rsidRPr="00B40998">
        <w:rPr>
          <w:rFonts w:ascii="David" w:hAnsi="David"/>
          <w:noProof w:val="0"/>
          <w:rtl/>
        </w:rPr>
        <w:t>יתר הצדדים להליך,</w:t>
      </w:r>
      <w:r w:rsidR="00D47EC0" w:rsidRPr="00B40998">
        <w:rPr>
          <w:rFonts w:ascii="David" w:hAnsi="David"/>
          <w:noProof w:val="0"/>
          <w:rtl/>
        </w:rPr>
        <w:t xml:space="preserve"> רשאים </w:t>
      </w:r>
      <w:r w:rsidR="00990B6B">
        <w:rPr>
          <w:rFonts w:ascii="David" w:hAnsi="David" w:hint="cs"/>
          <w:noProof w:val="0"/>
          <w:rtl/>
        </w:rPr>
        <w:t xml:space="preserve">אלו </w:t>
      </w:r>
      <w:r w:rsidR="00D47EC0" w:rsidRPr="00B40998">
        <w:rPr>
          <w:rFonts w:ascii="David" w:hAnsi="David"/>
          <w:noProof w:val="0"/>
          <w:rtl/>
        </w:rPr>
        <w:t>להגיש ערעור מטע</w:t>
      </w:r>
      <w:r w:rsidR="00990B6B">
        <w:rPr>
          <w:rFonts w:ascii="David" w:hAnsi="David" w:hint="cs"/>
          <w:noProof w:val="0"/>
          <w:rtl/>
        </w:rPr>
        <w:t>מ</w:t>
      </w:r>
      <w:r w:rsidR="00D47EC0" w:rsidRPr="00B40998">
        <w:rPr>
          <w:rFonts w:ascii="David" w:hAnsi="David"/>
          <w:noProof w:val="0"/>
          <w:rtl/>
        </w:rPr>
        <w:t xml:space="preserve">ם 45 יום </w:t>
      </w:r>
      <w:r w:rsidR="00D47EC0" w:rsidRPr="00990B6B">
        <w:rPr>
          <w:rFonts w:ascii="David" w:hAnsi="David"/>
          <w:b/>
          <w:bCs/>
          <w:noProof w:val="0"/>
          <w:rtl/>
        </w:rPr>
        <w:t>לאחר</w:t>
      </w:r>
      <w:r w:rsidR="00D47EC0" w:rsidRPr="00B40998">
        <w:rPr>
          <w:rFonts w:ascii="David" w:hAnsi="David"/>
          <w:noProof w:val="0"/>
          <w:rtl/>
        </w:rPr>
        <w:t xml:space="preserve"> הגשת הערעור הראשון, כלומר </w:t>
      </w:r>
      <w:r w:rsidR="00D47EC0" w:rsidRPr="00B40998">
        <w:rPr>
          <w:rFonts w:ascii="David" w:hAnsi="David"/>
          <w:b/>
          <w:bCs/>
          <w:noProof w:val="0"/>
          <w:rtl/>
        </w:rPr>
        <w:t xml:space="preserve">המועד </w:t>
      </w:r>
      <w:r w:rsidR="00D47EC0" w:rsidRPr="00B40998">
        <w:rPr>
          <w:rFonts w:ascii="David" w:hAnsi="David"/>
          <w:noProof w:val="0"/>
          <w:rtl/>
        </w:rPr>
        <w:t>להגשת הערעור מטעמם ארוך יותר.</w:t>
      </w:r>
    </w:p>
    <w:p w:rsidR="00D47EC0" w:rsidRPr="00B40998" w:rsidRDefault="00D47EC0" w:rsidP="00990B6B">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יובהר, כאשר מוגש ערעור על </w:t>
      </w:r>
      <w:r w:rsidR="00990B6B">
        <w:rPr>
          <w:rFonts w:ascii="David" w:hAnsi="David" w:hint="cs"/>
          <w:noProof w:val="0"/>
          <w:rtl/>
        </w:rPr>
        <w:t xml:space="preserve">פסק דינו של </w:t>
      </w:r>
      <w:r w:rsidRPr="00B40998">
        <w:rPr>
          <w:rFonts w:ascii="David" w:hAnsi="David"/>
          <w:noProof w:val="0"/>
          <w:rtl/>
        </w:rPr>
        <w:t>בית המשפט לענייני משפחה טרם חלפו 45 יום מיום המצאת פסק הדין, אין מחלוקת כי יתר הצדדים רשאים להגיש ערעור עד לחלוף 45 ימים מיום המצאת פסק הדין</w:t>
      </w:r>
      <w:r w:rsidR="00990B6B">
        <w:rPr>
          <w:rFonts w:ascii="David" w:hAnsi="David" w:hint="cs"/>
          <w:noProof w:val="0"/>
          <w:rtl/>
        </w:rPr>
        <w:t xml:space="preserve"> ל</w:t>
      </w:r>
      <w:r w:rsidR="00DE7E5B">
        <w:rPr>
          <w:rFonts w:ascii="David" w:hAnsi="David" w:hint="cs"/>
          <w:noProof w:val="0"/>
          <w:rtl/>
        </w:rPr>
        <w:t>י</w:t>
      </w:r>
      <w:r w:rsidR="00990B6B">
        <w:rPr>
          <w:rFonts w:ascii="David" w:hAnsi="David" w:hint="cs"/>
          <w:noProof w:val="0"/>
          <w:rtl/>
        </w:rPr>
        <w:t>דיהם</w:t>
      </w:r>
      <w:r w:rsidRPr="00B40998">
        <w:rPr>
          <w:rFonts w:ascii="David" w:hAnsi="David"/>
          <w:noProof w:val="0"/>
          <w:rtl/>
        </w:rPr>
        <w:t xml:space="preserve">, והמחלוקת נעוצה </w:t>
      </w:r>
      <w:r w:rsidR="00990B6B">
        <w:rPr>
          <w:rFonts w:ascii="David" w:hAnsi="David" w:hint="cs"/>
          <w:noProof w:val="0"/>
          <w:rtl/>
        </w:rPr>
        <w:t xml:space="preserve">בסוגיה - </w:t>
      </w:r>
      <w:r w:rsidRPr="00B40998">
        <w:rPr>
          <w:rFonts w:ascii="David" w:hAnsi="David"/>
          <w:noProof w:val="0"/>
          <w:rtl/>
        </w:rPr>
        <w:t xml:space="preserve">האם יש למשיבים אלו מועד </w:t>
      </w:r>
      <w:r w:rsidRPr="00990B6B">
        <w:rPr>
          <w:rFonts w:ascii="David" w:hAnsi="David"/>
          <w:b/>
          <w:bCs/>
          <w:noProof w:val="0"/>
          <w:rtl/>
        </w:rPr>
        <w:t>ארוך יותר</w:t>
      </w:r>
      <w:r w:rsidRPr="00B40998">
        <w:rPr>
          <w:rFonts w:ascii="David" w:hAnsi="David"/>
          <w:noProof w:val="0"/>
          <w:rtl/>
        </w:rPr>
        <w:t>, המשתרע עד ל- 45 יום מהגשת הערעור הראשון</w:t>
      </w:r>
      <w:r w:rsidR="00990B6B">
        <w:rPr>
          <w:rFonts w:ascii="David" w:hAnsi="David" w:hint="cs"/>
          <w:noProof w:val="0"/>
          <w:rtl/>
        </w:rPr>
        <w:t>, להגשת הערעור מטעמם.</w:t>
      </w:r>
    </w:p>
    <w:p w:rsidR="00D47EC0" w:rsidRPr="00B40998" w:rsidRDefault="00D47EC0" w:rsidP="00FE5030">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מכאן</w:t>
      </w:r>
      <w:r w:rsidR="009F1603">
        <w:rPr>
          <w:rFonts w:ascii="David" w:hAnsi="David" w:hint="cs"/>
          <w:noProof w:val="0"/>
          <w:rtl/>
        </w:rPr>
        <w:t xml:space="preserve"> </w:t>
      </w:r>
      <w:r w:rsidRPr="00B40998">
        <w:rPr>
          <w:rFonts w:ascii="David" w:hAnsi="David"/>
          <w:noProof w:val="0"/>
          <w:rtl/>
        </w:rPr>
        <w:t xml:space="preserve">יש לבחון </w:t>
      </w:r>
      <w:r w:rsidR="00990B6B">
        <w:rPr>
          <w:rFonts w:ascii="David" w:hAnsi="David" w:hint="cs"/>
          <w:noProof w:val="0"/>
          <w:rtl/>
        </w:rPr>
        <w:t xml:space="preserve">בשלב הראשון, </w:t>
      </w:r>
      <w:r w:rsidRPr="00B40998">
        <w:rPr>
          <w:rFonts w:ascii="David" w:hAnsi="David"/>
          <w:noProof w:val="0"/>
          <w:rtl/>
        </w:rPr>
        <w:t xml:space="preserve">האם בלשון החקיקה יש </w:t>
      </w:r>
      <w:r w:rsidRPr="00990B6B">
        <w:rPr>
          <w:rFonts w:ascii="David" w:hAnsi="David"/>
          <w:noProof w:val="0"/>
          <w:rtl/>
        </w:rPr>
        <w:t>עיגון לשוני</w:t>
      </w:r>
      <w:r w:rsidRPr="00B40998">
        <w:rPr>
          <w:rFonts w:ascii="David" w:hAnsi="David"/>
          <w:noProof w:val="0"/>
          <w:rtl/>
        </w:rPr>
        <w:t xml:space="preserve"> לזכות המשיבים לערעור הראשון להגיש ערעור </w:t>
      </w:r>
      <w:r w:rsidR="00FE5030">
        <w:rPr>
          <w:rFonts w:ascii="David" w:hAnsi="David" w:hint="cs"/>
          <w:noProof w:val="0"/>
          <w:rtl/>
        </w:rPr>
        <w:t xml:space="preserve">מטעמם גם בחלוף </w:t>
      </w:r>
      <w:r w:rsidRPr="00B40998">
        <w:rPr>
          <w:rFonts w:ascii="David" w:hAnsi="David"/>
          <w:noProof w:val="0"/>
          <w:rtl/>
        </w:rPr>
        <w:t>45 יום</w:t>
      </w:r>
      <w:r w:rsidR="00FE5030">
        <w:rPr>
          <w:rFonts w:ascii="David" w:hAnsi="David" w:hint="cs"/>
          <w:noProof w:val="0"/>
          <w:rtl/>
        </w:rPr>
        <w:t xml:space="preserve"> </w:t>
      </w:r>
      <w:r w:rsidRPr="00B40998">
        <w:rPr>
          <w:rFonts w:ascii="David" w:hAnsi="David"/>
          <w:noProof w:val="0"/>
          <w:rtl/>
        </w:rPr>
        <w:t>ממועד המצאת פסק הדין</w:t>
      </w:r>
      <w:r w:rsidR="00990B6B">
        <w:rPr>
          <w:rFonts w:ascii="David" w:hAnsi="David" w:hint="cs"/>
          <w:noProof w:val="0"/>
          <w:rtl/>
        </w:rPr>
        <w:t xml:space="preserve"> לידיהם</w:t>
      </w:r>
      <w:r w:rsidR="00FE5030">
        <w:rPr>
          <w:rFonts w:ascii="David" w:hAnsi="David" w:hint="cs"/>
          <w:noProof w:val="0"/>
          <w:rtl/>
        </w:rPr>
        <w:t>.</w:t>
      </w:r>
    </w:p>
    <w:p w:rsidR="00D47EC0" w:rsidRPr="00B40998" w:rsidRDefault="00501AC2" w:rsidP="00990B6B">
      <w:pPr>
        <w:pStyle w:val="ad"/>
        <w:spacing w:after="180" w:line="360" w:lineRule="auto"/>
        <w:ind w:left="652"/>
        <w:contextualSpacing w:val="0"/>
        <w:jc w:val="both"/>
        <w:rPr>
          <w:rFonts w:ascii="David" w:hAnsi="David"/>
          <w:noProof w:val="0"/>
        </w:rPr>
      </w:pPr>
      <w:r w:rsidRPr="00B40998">
        <w:rPr>
          <w:rFonts w:ascii="David" w:hAnsi="David"/>
          <w:noProof w:val="0"/>
          <w:rtl/>
        </w:rPr>
        <w:t>עיון בתקנות סדר הדין האזרחי</w:t>
      </w:r>
      <w:r w:rsidR="00990B6B">
        <w:rPr>
          <w:rFonts w:ascii="David" w:hAnsi="David" w:hint="cs"/>
          <w:noProof w:val="0"/>
          <w:rtl/>
        </w:rPr>
        <w:t>,</w:t>
      </w:r>
      <w:r w:rsidRPr="00B40998">
        <w:rPr>
          <w:rFonts w:ascii="David" w:hAnsi="David"/>
          <w:noProof w:val="0"/>
          <w:rtl/>
        </w:rPr>
        <w:t xml:space="preserve"> ובתקנות סדרי הדין משפחה</w:t>
      </w:r>
      <w:r w:rsidR="00990B6B">
        <w:rPr>
          <w:rFonts w:ascii="David" w:hAnsi="David" w:hint="cs"/>
          <w:noProof w:val="0"/>
          <w:rtl/>
        </w:rPr>
        <w:t>,</w:t>
      </w:r>
      <w:r w:rsidRPr="00B40998">
        <w:rPr>
          <w:rFonts w:ascii="David" w:hAnsi="David"/>
          <w:noProof w:val="0"/>
          <w:rtl/>
        </w:rPr>
        <w:t xml:space="preserve"> מגלה</w:t>
      </w:r>
      <w:r w:rsidR="00FE5030">
        <w:rPr>
          <w:rFonts w:ascii="David" w:hAnsi="David" w:hint="cs"/>
          <w:noProof w:val="0"/>
          <w:rtl/>
        </w:rPr>
        <w:t>,</w:t>
      </w:r>
      <w:r w:rsidRPr="00B40998">
        <w:rPr>
          <w:rFonts w:ascii="David" w:hAnsi="David"/>
          <w:noProof w:val="0"/>
          <w:rtl/>
        </w:rPr>
        <w:t xml:space="preserve"> </w:t>
      </w:r>
      <w:r w:rsidR="00990B6B">
        <w:rPr>
          <w:rFonts w:ascii="David" w:hAnsi="David" w:hint="cs"/>
          <w:noProof w:val="0"/>
          <w:rtl/>
        </w:rPr>
        <w:t>לטעמי</w:t>
      </w:r>
      <w:r w:rsidR="00FE5030">
        <w:rPr>
          <w:rFonts w:ascii="David" w:hAnsi="David" w:hint="cs"/>
          <w:noProof w:val="0"/>
          <w:rtl/>
        </w:rPr>
        <w:t>,</w:t>
      </w:r>
      <w:r w:rsidR="00990B6B">
        <w:rPr>
          <w:rFonts w:ascii="David" w:hAnsi="David" w:hint="cs"/>
          <w:noProof w:val="0"/>
          <w:rtl/>
        </w:rPr>
        <w:t xml:space="preserve"> </w:t>
      </w:r>
      <w:r w:rsidRPr="00B40998">
        <w:rPr>
          <w:rFonts w:ascii="David" w:hAnsi="David"/>
          <w:noProof w:val="0"/>
          <w:rtl/>
        </w:rPr>
        <w:t>שלאחר תיקון 2022 אין אפשרות להגשת ערעור בחלוף תקופה של 45 ימים</w:t>
      </w:r>
      <w:r w:rsidR="00990B6B">
        <w:rPr>
          <w:rFonts w:ascii="David" w:hAnsi="David" w:hint="cs"/>
          <w:noProof w:val="0"/>
          <w:rtl/>
        </w:rPr>
        <w:t xml:space="preserve"> ממועד המצאת פסק הדין</w:t>
      </w:r>
      <w:r w:rsidRPr="00B40998">
        <w:rPr>
          <w:rFonts w:ascii="David" w:hAnsi="David"/>
          <w:noProof w:val="0"/>
          <w:rtl/>
        </w:rPr>
        <w:t>, ואבאר.</w:t>
      </w:r>
    </w:p>
    <w:p w:rsidR="002562DC" w:rsidRPr="00B40998" w:rsidRDefault="00501AC2" w:rsidP="00FE5030">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תקנות סדר </w:t>
      </w:r>
      <w:r w:rsidR="009D101A">
        <w:rPr>
          <w:rFonts w:ascii="David" w:hAnsi="David" w:hint="cs"/>
          <w:noProof w:val="0"/>
          <w:rtl/>
        </w:rPr>
        <w:t xml:space="preserve">הדין </w:t>
      </w:r>
      <w:r w:rsidRPr="00B40998">
        <w:rPr>
          <w:rFonts w:ascii="David" w:hAnsi="David"/>
          <w:noProof w:val="0"/>
          <w:rtl/>
        </w:rPr>
        <w:t xml:space="preserve">האזרחי קובעות באופן מפורש בתקנה 137(א) את הכלל לגבי המועד להגשת ערעור והוא 60 יום מיום ההמצאה. תקנה 137(ב) קובעת את </w:t>
      </w:r>
      <w:r w:rsidRPr="009D101A">
        <w:rPr>
          <w:rFonts w:ascii="David" w:hAnsi="David"/>
          <w:b/>
          <w:bCs/>
          <w:noProof w:val="0"/>
          <w:rtl/>
        </w:rPr>
        <w:t>החריג</w:t>
      </w:r>
      <w:r w:rsidRPr="00B40998">
        <w:rPr>
          <w:rFonts w:ascii="David" w:hAnsi="David"/>
          <w:noProof w:val="0"/>
          <w:rtl/>
        </w:rPr>
        <w:t xml:space="preserve">, והוא במקרה בו מוגש ערעור על ידי אחד הצדדים, כאשר </w:t>
      </w:r>
      <w:r w:rsidR="00FE5030">
        <w:rPr>
          <w:rFonts w:ascii="David" w:hAnsi="David" w:hint="cs"/>
          <w:noProof w:val="0"/>
          <w:rtl/>
        </w:rPr>
        <w:t xml:space="preserve">רק </w:t>
      </w:r>
      <w:r w:rsidRPr="00B40998">
        <w:rPr>
          <w:rFonts w:ascii="David" w:hAnsi="David"/>
          <w:noProof w:val="0"/>
          <w:rtl/>
        </w:rPr>
        <w:t>במקרה שכזה ני</w:t>
      </w:r>
      <w:r w:rsidR="009D101A">
        <w:rPr>
          <w:rFonts w:ascii="David" w:hAnsi="David" w:hint="cs"/>
          <w:noProof w:val="0"/>
          <w:rtl/>
        </w:rPr>
        <w:t>ת</w:t>
      </w:r>
      <w:r w:rsidRPr="00B40998">
        <w:rPr>
          <w:rFonts w:ascii="David" w:hAnsi="David"/>
          <w:noProof w:val="0"/>
          <w:rtl/>
        </w:rPr>
        <w:t>נת זכות ליתר הצדדים להגיש ערעור מטעמ</w:t>
      </w:r>
      <w:r w:rsidR="009D101A">
        <w:rPr>
          <w:rFonts w:ascii="David" w:hAnsi="David" w:hint="cs"/>
          <w:noProof w:val="0"/>
          <w:rtl/>
        </w:rPr>
        <w:t>ם</w:t>
      </w:r>
      <w:r w:rsidRPr="00B40998">
        <w:rPr>
          <w:rFonts w:ascii="David" w:hAnsi="David"/>
          <w:noProof w:val="0"/>
          <w:rtl/>
        </w:rPr>
        <w:t xml:space="preserve"> 60 יום לאחר שהומצא ל</w:t>
      </w:r>
      <w:r w:rsidR="009D101A">
        <w:rPr>
          <w:rFonts w:ascii="David" w:hAnsi="David" w:hint="cs"/>
          <w:noProof w:val="0"/>
          <w:rtl/>
        </w:rPr>
        <w:t>הם</w:t>
      </w:r>
      <w:r w:rsidRPr="00B40998">
        <w:rPr>
          <w:rFonts w:ascii="David" w:hAnsi="David"/>
          <w:noProof w:val="0"/>
          <w:rtl/>
        </w:rPr>
        <w:t xml:space="preserve"> הערעור הראשון. יו</w:t>
      </w:r>
      <w:r w:rsidR="00FE5030">
        <w:rPr>
          <w:rFonts w:ascii="David" w:hAnsi="David" w:hint="cs"/>
          <w:noProof w:val="0"/>
          <w:rtl/>
        </w:rPr>
        <w:t>דגש</w:t>
      </w:r>
      <w:r w:rsidRPr="00B40998">
        <w:rPr>
          <w:rFonts w:ascii="David" w:hAnsi="David"/>
          <w:noProof w:val="0"/>
          <w:rtl/>
        </w:rPr>
        <w:t>, מלשון תקנה 137(ב) ברור</w:t>
      </w:r>
      <w:r w:rsidR="009D101A">
        <w:rPr>
          <w:rFonts w:ascii="David" w:hAnsi="David" w:hint="cs"/>
          <w:noProof w:val="0"/>
          <w:rtl/>
        </w:rPr>
        <w:t>,</w:t>
      </w:r>
      <w:r w:rsidRPr="00B40998">
        <w:rPr>
          <w:rFonts w:ascii="David" w:hAnsi="David"/>
          <w:noProof w:val="0"/>
          <w:rtl/>
        </w:rPr>
        <w:t xml:space="preserve"> כי מדובר בחריג לכלל שנקבע בתקנה 137(א) וזאת כא</w:t>
      </w:r>
      <w:r w:rsidR="002562DC" w:rsidRPr="00B40998">
        <w:rPr>
          <w:rFonts w:ascii="David" w:hAnsi="David"/>
          <w:noProof w:val="0"/>
          <w:rtl/>
        </w:rPr>
        <w:t>שר נכתב</w:t>
      </w:r>
      <w:r w:rsidR="002562DC" w:rsidRPr="00B40998">
        <w:rPr>
          <w:rFonts w:ascii="David" w:hAnsi="David"/>
          <w:b/>
          <w:bCs/>
          <w:noProof w:val="0"/>
          <w:rtl/>
        </w:rPr>
        <w:t xml:space="preserve"> "על אף האמור בתקנה 137(א)..."</w:t>
      </w:r>
      <w:r w:rsidR="002562DC" w:rsidRPr="00B40998">
        <w:rPr>
          <w:rFonts w:ascii="David" w:hAnsi="David"/>
          <w:noProof w:val="0"/>
          <w:rtl/>
        </w:rPr>
        <w:t>.</w:t>
      </w:r>
    </w:p>
    <w:p w:rsidR="002562DC" w:rsidRPr="00B40998" w:rsidRDefault="002562DC" w:rsidP="009D101A">
      <w:pPr>
        <w:pStyle w:val="ad"/>
        <w:spacing w:after="180" w:line="360" w:lineRule="auto"/>
        <w:ind w:left="652"/>
        <w:contextualSpacing w:val="0"/>
        <w:jc w:val="both"/>
        <w:rPr>
          <w:rFonts w:ascii="David" w:hAnsi="David"/>
          <w:noProof w:val="0"/>
          <w:rtl/>
        </w:rPr>
      </w:pPr>
      <w:r w:rsidRPr="00B40998">
        <w:rPr>
          <w:rFonts w:ascii="David" w:hAnsi="David"/>
          <w:noProof w:val="0"/>
          <w:rtl/>
        </w:rPr>
        <w:t>במילים אחרות, ללא החריג שנקבע בתקנה 137(</w:t>
      </w:r>
      <w:r w:rsidR="009D101A">
        <w:rPr>
          <w:rFonts w:ascii="David" w:hAnsi="David" w:hint="cs"/>
          <w:noProof w:val="0"/>
          <w:rtl/>
        </w:rPr>
        <w:t>ב</w:t>
      </w:r>
      <w:r w:rsidRPr="00B40998">
        <w:rPr>
          <w:rFonts w:ascii="David" w:hAnsi="David"/>
          <w:noProof w:val="0"/>
          <w:rtl/>
        </w:rPr>
        <w:t xml:space="preserve">) </w:t>
      </w:r>
      <w:r w:rsidR="00FE5030">
        <w:rPr>
          <w:rFonts w:ascii="David" w:hAnsi="David" w:hint="cs"/>
          <w:noProof w:val="0"/>
          <w:rtl/>
        </w:rPr>
        <w:t xml:space="preserve">לתקנות סדר הדין האזרחי, </w:t>
      </w:r>
      <w:r w:rsidRPr="00B40998">
        <w:rPr>
          <w:rFonts w:ascii="David" w:hAnsi="David"/>
          <w:noProof w:val="0"/>
          <w:rtl/>
        </w:rPr>
        <w:t>לא הייתה זכות לצדדים להגיש ערעור לאחר תום 60 הימים להגשת הערעור, גם אם היה מוגש ערעור ראשון על ידי מי מהצדדים.</w:t>
      </w:r>
    </w:p>
    <w:p w:rsidR="009269E8" w:rsidRPr="00B40998" w:rsidRDefault="002562DC" w:rsidP="00FE5030">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תקנות סדרי ה</w:t>
      </w:r>
      <w:r w:rsidR="009269E8" w:rsidRPr="00B40998">
        <w:rPr>
          <w:rFonts w:ascii="David" w:hAnsi="David"/>
          <w:noProof w:val="0"/>
          <w:rtl/>
        </w:rPr>
        <w:t xml:space="preserve">דין משפחה, כמבואר לעיל, קובעות טכניקה של כלל ויוצא מן הכלל לקביעת </w:t>
      </w:r>
      <w:r w:rsidR="009D101A">
        <w:rPr>
          <w:rFonts w:ascii="David" w:hAnsi="David" w:hint="cs"/>
          <w:noProof w:val="0"/>
          <w:rtl/>
        </w:rPr>
        <w:t>ה</w:t>
      </w:r>
      <w:r w:rsidR="009269E8" w:rsidRPr="00B40998">
        <w:rPr>
          <w:rFonts w:ascii="David" w:hAnsi="David"/>
          <w:noProof w:val="0"/>
          <w:rtl/>
        </w:rPr>
        <w:t>הסדרים הדיוניים מכוחן. הכלל, הקבוע בתקנה 1 לתקנות אלו</w:t>
      </w:r>
      <w:r w:rsidR="009D101A">
        <w:rPr>
          <w:rFonts w:ascii="David" w:hAnsi="David" w:hint="cs"/>
          <w:noProof w:val="0"/>
          <w:rtl/>
        </w:rPr>
        <w:t>,</w:t>
      </w:r>
      <w:r w:rsidR="009269E8" w:rsidRPr="00B40998">
        <w:rPr>
          <w:rFonts w:ascii="David" w:hAnsi="David"/>
          <w:noProof w:val="0"/>
          <w:rtl/>
        </w:rPr>
        <w:t xml:space="preserve"> הינ</w:t>
      </w:r>
      <w:r w:rsidR="009D101A">
        <w:rPr>
          <w:rFonts w:ascii="David" w:hAnsi="David" w:hint="cs"/>
          <w:noProof w:val="0"/>
          <w:rtl/>
        </w:rPr>
        <w:t>ו</w:t>
      </w:r>
      <w:r w:rsidR="009269E8" w:rsidRPr="00B40998">
        <w:rPr>
          <w:rFonts w:ascii="David" w:hAnsi="David"/>
          <w:noProof w:val="0"/>
          <w:rtl/>
        </w:rPr>
        <w:t xml:space="preserve"> תחולה של תקנות סדר הדין האזרחי</w:t>
      </w:r>
      <w:r w:rsidR="00FE5030">
        <w:rPr>
          <w:rFonts w:ascii="David" w:hAnsi="David" w:hint="cs"/>
          <w:noProof w:val="0"/>
          <w:rtl/>
        </w:rPr>
        <w:t xml:space="preserve"> בעניין זה </w:t>
      </w:r>
      <w:r w:rsidR="009269E8" w:rsidRPr="00B40998">
        <w:rPr>
          <w:rFonts w:ascii="David" w:hAnsi="David"/>
          <w:noProof w:val="0"/>
          <w:rtl/>
        </w:rPr>
        <w:t>על ההליכים בבית המשפט לענייני משפחה.</w:t>
      </w:r>
    </w:p>
    <w:p w:rsidR="00501AC2" w:rsidRPr="00B40998" w:rsidRDefault="009269E8" w:rsidP="009D101A">
      <w:pPr>
        <w:pStyle w:val="ad"/>
        <w:spacing w:after="180" w:line="360" w:lineRule="auto"/>
        <w:ind w:left="652"/>
        <w:contextualSpacing w:val="0"/>
        <w:jc w:val="both"/>
        <w:rPr>
          <w:rFonts w:ascii="David" w:hAnsi="David"/>
          <w:noProof w:val="0"/>
          <w:rtl/>
        </w:rPr>
      </w:pPr>
      <w:r w:rsidRPr="00B40998">
        <w:rPr>
          <w:rFonts w:ascii="David" w:hAnsi="David"/>
          <w:noProof w:val="0"/>
          <w:rtl/>
        </w:rPr>
        <w:lastRenderedPageBreak/>
        <w:t xml:space="preserve">היוצא מן הכלל, אלו אותם המקרים בהם נקבע בתקנות סדרי הדין משפחה </w:t>
      </w:r>
      <w:r w:rsidRPr="009D101A">
        <w:rPr>
          <w:rFonts w:ascii="David" w:hAnsi="David"/>
          <w:b/>
          <w:bCs/>
          <w:noProof w:val="0"/>
          <w:rtl/>
        </w:rPr>
        <w:t>אחרת</w:t>
      </w:r>
      <w:r w:rsidRPr="00B40998">
        <w:rPr>
          <w:rFonts w:ascii="David" w:hAnsi="David"/>
          <w:noProof w:val="0"/>
          <w:rtl/>
        </w:rPr>
        <w:t xml:space="preserve"> מתקנות סדר הדין האזרחי.     </w:t>
      </w:r>
    </w:p>
    <w:p w:rsidR="00A61E00" w:rsidRPr="00B40998" w:rsidRDefault="00A61E00" w:rsidP="009D101A">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אציין כי לעניין סדרי הדין בנוגע לערעור, יש </w:t>
      </w:r>
      <w:r w:rsidR="009D101A">
        <w:rPr>
          <w:rFonts w:ascii="David" w:hAnsi="David" w:hint="cs"/>
          <w:noProof w:val="0"/>
          <w:rtl/>
        </w:rPr>
        <w:t>כאמור</w:t>
      </w:r>
      <w:r w:rsidRPr="00B40998">
        <w:rPr>
          <w:rFonts w:ascii="David" w:hAnsi="David"/>
          <w:noProof w:val="0"/>
          <w:rtl/>
        </w:rPr>
        <w:t xml:space="preserve"> תקנה מפורשת המחילה את הוראות תקנות סדר הדין האזרחי, והיא תקנה 44 </w:t>
      </w:r>
      <w:r w:rsidR="009D101A">
        <w:rPr>
          <w:rFonts w:ascii="David" w:hAnsi="David" w:hint="cs"/>
          <w:noProof w:val="0"/>
          <w:rtl/>
        </w:rPr>
        <w:t>לעיל.</w:t>
      </w:r>
    </w:p>
    <w:p w:rsidR="00507F00" w:rsidRPr="00B40998" w:rsidRDefault="009D101A" w:rsidP="009D101A">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מכאן, ל</w:t>
      </w:r>
      <w:r w:rsidR="009269E8" w:rsidRPr="00B40998">
        <w:rPr>
          <w:rFonts w:ascii="David" w:hAnsi="David"/>
          <w:noProof w:val="0"/>
          <w:rtl/>
        </w:rPr>
        <w:t>ענייננו, בשלב הראשון</w:t>
      </w:r>
      <w:r>
        <w:rPr>
          <w:rFonts w:ascii="David" w:hAnsi="David" w:hint="cs"/>
          <w:noProof w:val="0"/>
          <w:rtl/>
        </w:rPr>
        <w:t>,</w:t>
      </w:r>
      <w:r w:rsidR="009269E8" w:rsidRPr="00B40998">
        <w:rPr>
          <w:rFonts w:ascii="David" w:hAnsi="David"/>
          <w:noProof w:val="0"/>
          <w:rtl/>
        </w:rPr>
        <w:t xml:space="preserve"> יש לבחון מהו ההסדר</w:t>
      </w:r>
      <w:r>
        <w:rPr>
          <w:rFonts w:ascii="David" w:hAnsi="David" w:hint="cs"/>
          <w:noProof w:val="0"/>
          <w:rtl/>
        </w:rPr>
        <w:t xml:space="preserve"> הקיים </w:t>
      </w:r>
      <w:r w:rsidR="009269E8" w:rsidRPr="00B40998">
        <w:rPr>
          <w:rFonts w:ascii="David" w:hAnsi="David"/>
          <w:noProof w:val="0"/>
          <w:rtl/>
        </w:rPr>
        <w:t xml:space="preserve">בתקנות סדר הדין האזרחי, ובשלב השני, יש לבחון האם נקבע </w:t>
      </w:r>
      <w:r w:rsidR="009269E8" w:rsidRPr="009D101A">
        <w:rPr>
          <w:rFonts w:ascii="David" w:hAnsi="David"/>
          <w:b/>
          <w:bCs/>
          <w:noProof w:val="0"/>
          <w:rtl/>
        </w:rPr>
        <w:t>אחרת</w:t>
      </w:r>
      <w:r w:rsidR="009269E8" w:rsidRPr="00B40998">
        <w:rPr>
          <w:rFonts w:ascii="David" w:hAnsi="David"/>
          <w:noProof w:val="0"/>
          <w:rtl/>
        </w:rPr>
        <w:t xml:space="preserve"> במסגרת תקנות סדרי הדין משפחה.</w:t>
      </w:r>
    </w:p>
    <w:p w:rsidR="009D101A" w:rsidRDefault="008356AA" w:rsidP="00C24AFF">
      <w:pPr>
        <w:pStyle w:val="ad"/>
        <w:numPr>
          <w:ilvl w:val="0"/>
          <w:numId w:val="1"/>
        </w:numPr>
        <w:spacing w:after="180" w:line="360" w:lineRule="auto"/>
        <w:ind w:left="652" w:hanging="709"/>
        <w:contextualSpacing w:val="0"/>
        <w:jc w:val="both"/>
        <w:rPr>
          <w:rFonts w:ascii="David" w:hAnsi="David"/>
          <w:noProof w:val="0"/>
        </w:rPr>
      </w:pPr>
      <w:r w:rsidRPr="009D101A">
        <w:rPr>
          <w:rFonts w:ascii="David" w:hAnsi="David"/>
          <w:noProof w:val="0"/>
          <w:rtl/>
        </w:rPr>
        <w:t xml:space="preserve">במקרה שלפניי, כאמור, תקנות סדר </w:t>
      </w:r>
      <w:r w:rsidR="009D101A" w:rsidRPr="009D101A">
        <w:rPr>
          <w:rFonts w:ascii="David" w:hAnsi="David"/>
          <w:noProof w:val="0"/>
          <w:rtl/>
        </w:rPr>
        <w:t>הדין האזרחי, אכן קובע</w:t>
      </w:r>
      <w:r w:rsidR="00C24AFF">
        <w:rPr>
          <w:rFonts w:ascii="David" w:hAnsi="David" w:hint="cs"/>
          <w:noProof w:val="0"/>
          <w:rtl/>
        </w:rPr>
        <w:t>ו</w:t>
      </w:r>
      <w:r w:rsidR="009D101A" w:rsidRPr="009D101A">
        <w:rPr>
          <w:rFonts w:ascii="David" w:hAnsi="David"/>
          <w:noProof w:val="0"/>
          <w:rtl/>
        </w:rPr>
        <w:t>ת מועד</w:t>
      </w:r>
      <w:r w:rsidR="009D101A" w:rsidRPr="009D101A">
        <w:rPr>
          <w:rFonts w:ascii="David" w:hAnsi="David" w:hint="cs"/>
          <w:noProof w:val="0"/>
          <w:rtl/>
        </w:rPr>
        <w:t xml:space="preserve"> ארוך יותר </w:t>
      </w:r>
      <w:r w:rsidRPr="009D101A">
        <w:rPr>
          <w:rFonts w:ascii="David" w:hAnsi="David"/>
          <w:noProof w:val="0"/>
          <w:rtl/>
        </w:rPr>
        <w:t>להגשת ערעור משיב. מכאן יש לבדוק</w:t>
      </w:r>
      <w:r w:rsidR="009D101A" w:rsidRPr="009D101A">
        <w:rPr>
          <w:rFonts w:ascii="David" w:hAnsi="David" w:hint="cs"/>
          <w:noProof w:val="0"/>
          <w:rtl/>
        </w:rPr>
        <w:t>,</w:t>
      </w:r>
      <w:r w:rsidRPr="009D101A">
        <w:rPr>
          <w:rFonts w:ascii="David" w:hAnsi="David"/>
          <w:noProof w:val="0"/>
          <w:rtl/>
        </w:rPr>
        <w:t xml:space="preserve"> האם יש קביעה </w:t>
      </w:r>
      <w:r w:rsidRPr="009D101A">
        <w:rPr>
          <w:rFonts w:ascii="David" w:hAnsi="David"/>
          <w:b/>
          <w:bCs/>
          <w:noProof w:val="0"/>
          <w:rtl/>
        </w:rPr>
        <w:t>אחרת</w:t>
      </w:r>
      <w:r w:rsidRPr="009D101A">
        <w:rPr>
          <w:rFonts w:ascii="David" w:hAnsi="David"/>
          <w:noProof w:val="0"/>
          <w:rtl/>
        </w:rPr>
        <w:t xml:space="preserve"> בתקנות סדרי הדין משפחה. עיון בתקנות</w:t>
      </w:r>
      <w:r w:rsidR="00C24AFF">
        <w:rPr>
          <w:rFonts w:ascii="David" w:hAnsi="David" w:hint="cs"/>
          <w:noProof w:val="0"/>
          <w:rtl/>
        </w:rPr>
        <w:t xml:space="preserve"> סדרי הדין משפחה </w:t>
      </w:r>
      <w:r w:rsidRPr="009D101A">
        <w:rPr>
          <w:rFonts w:ascii="David" w:hAnsi="David"/>
          <w:noProof w:val="0"/>
          <w:rtl/>
        </w:rPr>
        <w:t xml:space="preserve">מגלה כי קיימת קביעה מפורשת </w:t>
      </w:r>
      <w:r w:rsidRPr="00C24AFF">
        <w:rPr>
          <w:rFonts w:ascii="David" w:hAnsi="David"/>
          <w:b/>
          <w:bCs/>
          <w:noProof w:val="0"/>
          <w:rtl/>
        </w:rPr>
        <w:t>אחרת</w:t>
      </w:r>
      <w:r w:rsidR="009D101A" w:rsidRPr="009D101A">
        <w:rPr>
          <w:rFonts w:ascii="David" w:hAnsi="David" w:hint="cs"/>
          <w:noProof w:val="0"/>
          <w:rtl/>
        </w:rPr>
        <w:t>,</w:t>
      </w:r>
      <w:r w:rsidR="009D101A">
        <w:rPr>
          <w:rFonts w:ascii="David" w:hAnsi="David" w:hint="cs"/>
          <w:noProof w:val="0"/>
          <w:rtl/>
        </w:rPr>
        <w:t xml:space="preserve"> </w:t>
      </w:r>
      <w:r w:rsidRPr="009D101A">
        <w:rPr>
          <w:rFonts w:ascii="David" w:hAnsi="David"/>
          <w:noProof w:val="0"/>
          <w:rtl/>
        </w:rPr>
        <w:t>וזאת בדרך כפולה.</w:t>
      </w:r>
    </w:p>
    <w:p w:rsidR="008356AA" w:rsidRPr="009D101A" w:rsidRDefault="008356AA" w:rsidP="004D0632">
      <w:pPr>
        <w:pStyle w:val="ad"/>
        <w:spacing w:after="180" w:line="360" w:lineRule="auto"/>
        <w:ind w:left="652"/>
        <w:contextualSpacing w:val="0"/>
        <w:jc w:val="both"/>
        <w:rPr>
          <w:rFonts w:ascii="David" w:hAnsi="David"/>
          <w:noProof w:val="0"/>
          <w:rtl/>
        </w:rPr>
      </w:pPr>
      <w:r w:rsidRPr="009D101A">
        <w:rPr>
          <w:rFonts w:ascii="David" w:hAnsi="David"/>
          <w:noProof w:val="0"/>
          <w:rtl/>
        </w:rPr>
        <w:t>ראשית</w:t>
      </w:r>
      <w:r w:rsidR="004D0632">
        <w:rPr>
          <w:rFonts w:ascii="David" w:hAnsi="David" w:hint="cs"/>
          <w:noProof w:val="0"/>
          <w:rtl/>
        </w:rPr>
        <w:t>,</w:t>
      </w:r>
      <w:r w:rsidRPr="009D101A">
        <w:rPr>
          <w:rFonts w:ascii="David" w:hAnsi="David"/>
          <w:noProof w:val="0"/>
          <w:rtl/>
        </w:rPr>
        <w:t xml:space="preserve"> נקבע מועד </w:t>
      </w:r>
      <w:r w:rsidRPr="004D0632">
        <w:rPr>
          <w:rFonts w:ascii="David" w:hAnsi="David"/>
          <w:b/>
          <w:bCs/>
          <w:noProof w:val="0"/>
          <w:rtl/>
        </w:rPr>
        <w:t>שונה</w:t>
      </w:r>
      <w:r w:rsidRPr="009D101A">
        <w:rPr>
          <w:rFonts w:ascii="David" w:hAnsi="David"/>
          <w:noProof w:val="0"/>
          <w:rtl/>
        </w:rPr>
        <w:t xml:space="preserve"> </w:t>
      </w:r>
      <w:r w:rsidR="004D0632">
        <w:rPr>
          <w:rFonts w:ascii="David" w:hAnsi="David" w:hint="cs"/>
          <w:noProof w:val="0"/>
          <w:rtl/>
        </w:rPr>
        <w:t xml:space="preserve">להגשת ערעור </w:t>
      </w:r>
      <w:r w:rsidRPr="009D101A">
        <w:rPr>
          <w:rFonts w:ascii="David" w:hAnsi="David"/>
          <w:noProof w:val="0"/>
          <w:rtl/>
        </w:rPr>
        <w:t>מהמועד שנקבע בתקנות סדר הדין האזרחי:</w:t>
      </w:r>
    </w:p>
    <w:p w:rsidR="008356AA" w:rsidRPr="00B40998" w:rsidRDefault="008356AA" w:rsidP="00B40998">
      <w:pPr>
        <w:pStyle w:val="ad"/>
        <w:spacing w:after="180" w:line="360" w:lineRule="auto"/>
        <w:ind w:left="1077" w:right="426"/>
        <w:contextualSpacing w:val="0"/>
        <w:jc w:val="both"/>
        <w:rPr>
          <w:rFonts w:ascii="David" w:hAnsi="David"/>
          <w:b/>
          <w:bCs/>
          <w:noProof w:val="0"/>
        </w:rPr>
      </w:pPr>
      <w:r w:rsidRPr="00B40998">
        <w:rPr>
          <w:rFonts w:ascii="David" w:hAnsi="David"/>
          <w:b/>
          <w:bCs/>
          <w:noProof w:val="0"/>
          <w:rtl/>
        </w:rPr>
        <w:t>"45. (א)</w:t>
      </w:r>
      <w:r w:rsidR="006A1D17">
        <w:rPr>
          <w:rFonts w:ascii="David" w:hAnsi="David" w:hint="cs"/>
          <w:b/>
          <w:bCs/>
          <w:noProof w:val="0"/>
          <w:rtl/>
        </w:rPr>
        <w:t xml:space="preserve"> </w:t>
      </w:r>
      <w:r w:rsidRPr="00B40998">
        <w:rPr>
          <w:rFonts w:ascii="David" w:hAnsi="David"/>
          <w:b/>
          <w:bCs/>
          <w:noProof w:val="0"/>
          <w:rtl/>
        </w:rPr>
        <w:t>המועד להגשת ערעור על פסק דין שניתן בבית המשפט לענייני משפחה הוא ארבעים וחמישה ימים מיום שהומצא פסק הדין."</w:t>
      </w:r>
    </w:p>
    <w:p w:rsidR="008356AA" w:rsidRPr="00B40998" w:rsidRDefault="008356AA" w:rsidP="00C24AFF">
      <w:pPr>
        <w:pStyle w:val="ad"/>
        <w:spacing w:after="180" w:line="360" w:lineRule="auto"/>
        <w:ind w:left="652"/>
        <w:contextualSpacing w:val="0"/>
        <w:jc w:val="both"/>
        <w:rPr>
          <w:rFonts w:ascii="David" w:hAnsi="David"/>
          <w:noProof w:val="0"/>
          <w:rtl/>
        </w:rPr>
      </w:pPr>
      <w:r w:rsidRPr="00B40998">
        <w:rPr>
          <w:rFonts w:ascii="David" w:hAnsi="David"/>
          <w:noProof w:val="0"/>
          <w:rtl/>
        </w:rPr>
        <w:t>ושנית</w:t>
      </w:r>
      <w:r w:rsidR="00C24AFF">
        <w:rPr>
          <w:rFonts w:ascii="David" w:hAnsi="David"/>
          <w:noProof w:val="0"/>
          <w:rtl/>
        </w:rPr>
        <w:t>, נשללת באופן מפורש תחולת תקנה</w:t>
      </w:r>
      <w:r w:rsidR="00C24AFF">
        <w:rPr>
          <w:rFonts w:ascii="David" w:hAnsi="David" w:hint="cs"/>
          <w:noProof w:val="0"/>
          <w:rtl/>
        </w:rPr>
        <w:t xml:space="preserve"> </w:t>
      </w:r>
      <w:r w:rsidRPr="00B40998">
        <w:rPr>
          <w:rFonts w:ascii="David" w:hAnsi="David"/>
          <w:noProof w:val="0"/>
          <w:rtl/>
        </w:rPr>
        <w:t>137</w:t>
      </w:r>
      <w:r w:rsidR="00C24AFF">
        <w:rPr>
          <w:rFonts w:ascii="David" w:hAnsi="David" w:hint="cs"/>
          <w:noProof w:val="0"/>
          <w:rtl/>
        </w:rPr>
        <w:t xml:space="preserve"> לתקנות סדר הדין האזרחי, בתקנה </w:t>
      </w:r>
      <w:r w:rsidR="004D0632">
        <w:rPr>
          <w:rFonts w:ascii="David" w:hAnsi="David" w:hint="cs"/>
          <w:noProof w:val="0"/>
          <w:rtl/>
        </w:rPr>
        <w:t>העוסקת בהגשת ערעור אזרחי,</w:t>
      </w:r>
      <w:r w:rsidRPr="00B40998">
        <w:rPr>
          <w:rFonts w:ascii="David" w:hAnsi="David"/>
          <w:noProof w:val="0"/>
          <w:rtl/>
        </w:rPr>
        <w:t xml:space="preserve"> על שני חלקיה:</w:t>
      </w:r>
    </w:p>
    <w:p w:rsidR="008356AA" w:rsidRPr="00B40998" w:rsidRDefault="008356AA" w:rsidP="00B40998">
      <w:pPr>
        <w:pStyle w:val="ad"/>
        <w:spacing w:after="180" w:line="360" w:lineRule="auto"/>
        <w:ind w:left="1219"/>
        <w:contextualSpacing w:val="0"/>
        <w:jc w:val="both"/>
        <w:rPr>
          <w:rFonts w:ascii="David" w:hAnsi="David"/>
          <w:b/>
          <w:bCs/>
          <w:noProof w:val="0"/>
        </w:rPr>
      </w:pPr>
      <w:r w:rsidRPr="00B40998">
        <w:rPr>
          <w:rFonts w:ascii="David" w:hAnsi="David"/>
          <w:b/>
          <w:bCs/>
          <w:noProof w:val="0"/>
          <w:rtl/>
        </w:rPr>
        <w:t>"(ד) תקנה 137 לתקנות סדר הדין האזרחי לא תחול."</w:t>
      </w:r>
    </w:p>
    <w:p w:rsidR="008356AA" w:rsidRPr="00B40998" w:rsidRDefault="008356AA" w:rsidP="004D0632">
      <w:pPr>
        <w:pStyle w:val="ad"/>
        <w:spacing w:after="180" w:line="360" w:lineRule="auto"/>
        <w:ind w:left="652"/>
        <w:contextualSpacing w:val="0"/>
        <w:jc w:val="both"/>
        <w:rPr>
          <w:rFonts w:ascii="David" w:hAnsi="David"/>
          <w:noProof w:val="0"/>
        </w:rPr>
      </w:pPr>
      <w:r w:rsidRPr="00B40998">
        <w:rPr>
          <w:rFonts w:ascii="David" w:hAnsi="David"/>
          <w:noProof w:val="0"/>
          <w:rtl/>
        </w:rPr>
        <w:t>כלומר, אין בלשון תקנות סדרי הדין משפחה עיגו</w:t>
      </w:r>
      <w:r w:rsidR="009B465C" w:rsidRPr="00B40998">
        <w:rPr>
          <w:rFonts w:ascii="David" w:hAnsi="David"/>
          <w:noProof w:val="0"/>
          <w:rtl/>
        </w:rPr>
        <w:t>ן כלשהו ל</w:t>
      </w:r>
      <w:r w:rsidR="004D0632">
        <w:rPr>
          <w:rFonts w:ascii="David" w:hAnsi="David" w:hint="cs"/>
          <w:noProof w:val="0"/>
          <w:rtl/>
        </w:rPr>
        <w:t>אפשרות ל</w:t>
      </w:r>
      <w:r w:rsidR="009B465C" w:rsidRPr="00B40998">
        <w:rPr>
          <w:rFonts w:ascii="David" w:hAnsi="David"/>
          <w:noProof w:val="0"/>
          <w:rtl/>
        </w:rPr>
        <w:t>הגשת ערעור לאחר שחלפו 45 יום מיום שהומצא פסק הדין, וזאת גם במקרה בו הוגש ערעור על ידי אחד מהצדדים.</w:t>
      </w:r>
    </w:p>
    <w:p w:rsidR="009B465C" w:rsidRPr="00B40998" w:rsidRDefault="004D0632" w:rsidP="004D0632">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במילים אחרות</w:t>
      </w:r>
      <w:r w:rsidR="009B465C" w:rsidRPr="00B40998">
        <w:rPr>
          <w:rFonts w:ascii="David" w:hAnsi="David"/>
          <w:noProof w:val="0"/>
          <w:rtl/>
        </w:rPr>
        <w:t>, התבוננות פשוטה בלשון תקנות סדרי הדין משפחה מגלה</w:t>
      </w:r>
      <w:r>
        <w:rPr>
          <w:rFonts w:ascii="David" w:hAnsi="David" w:hint="cs"/>
          <w:noProof w:val="0"/>
          <w:rtl/>
        </w:rPr>
        <w:t>,</w:t>
      </w:r>
      <w:r w:rsidR="009B465C" w:rsidRPr="00B40998">
        <w:rPr>
          <w:rFonts w:ascii="David" w:hAnsi="David"/>
          <w:noProof w:val="0"/>
          <w:rtl/>
        </w:rPr>
        <w:t xml:space="preserve"> </w:t>
      </w:r>
      <w:r w:rsidR="00946135" w:rsidRPr="00B40998">
        <w:rPr>
          <w:rFonts w:ascii="David" w:hAnsi="David"/>
          <w:noProof w:val="0"/>
          <w:rtl/>
        </w:rPr>
        <w:t xml:space="preserve">כי זו תומכת בפרשנות המערער, כי אין זכות למשיב בערעור בענייני משפחה להגשת ערעור מטעמו בחלוף 45 יום מיום המצאת פסק הדין. </w:t>
      </w:r>
    </w:p>
    <w:p w:rsidR="00946135" w:rsidRPr="00B40998" w:rsidRDefault="00946135" w:rsidP="004D0632">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זכות שכזו </w:t>
      </w:r>
      <w:r w:rsidRPr="004D0632">
        <w:rPr>
          <w:rFonts w:ascii="David" w:hAnsi="David"/>
          <w:b/>
          <w:bCs/>
          <w:noProof w:val="0"/>
          <w:rtl/>
        </w:rPr>
        <w:t>אינה</w:t>
      </w:r>
      <w:r w:rsidRPr="00B40998">
        <w:rPr>
          <w:rFonts w:ascii="David" w:hAnsi="David"/>
          <w:noProof w:val="0"/>
          <w:rtl/>
        </w:rPr>
        <w:t xml:space="preserve"> קיימת בתקנה 45 הקובע</w:t>
      </w:r>
      <w:r w:rsidR="004D0632">
        <w:rPr>
          <w:rFonts w:ascii="David" w:hAnsi="David" w:hint="cs"/>
          <w:noProof w:val="0"/>
          <w:rtl/>
        </w:rPr>
        <w:t>ת</w:t>
      </w:r>
      <w:r w:rsidRPr="00B40998">
        <w:rPr>
          <w:rFonts w:ascii="David" w:hAnsi="David"/>
          <w:noProof w:val="0"/>
          <w:rtl/>
        </w:rPr>
        <w:t xml:space="preserve"> כי המועד להגשת ערעור הינ</w:t>
      </w:r>
      <w:r w:rsidR="004D0632">
        <w:rPr>
          <w:rFonts w:ascii="David" w:hAnsi="David" w:hint="cs"/>
          <w:noProof w:val="0"/>
          <w:rtl/>
        </w:rPr>
        <w:t>ו</w:t>
      </w:r>
      <w:r w:rsidRPr="00B40998">
        <w:rPr>
          <w:rFonts w:ascii="David" w:hAnsi="David"/>
          <w:noProof w:val="0"/>
          <w:rtl/>
        </w:rPr>
        <w:t xml:space="preserve"> 45 יום, </w:t>
      </w:r>
      <w:r w:rsidR="004D0632">
        <w:rPr>
          <w:rFonts w:ascii="David" w:hAnsi="David" w:hint="cs"/>
          <w:noProof w:val="0"/>
          <w:rtl/>
        </w:rPr>
        <w:t xml:space="preserve">היא </w:t>
      </w:r>
      <w:r w:rsidRPr="00B40998">
        <w:rPr>
          <w:rFonts w:ascii="David" w:hAnsi="David"/>
          <w:noProof w:val="0"/>
          <w:rtl/>
        </w:rPr>
        <w:t xml:space="preserve">אינה קיימת מכוח תקנה אחרת </w:t>
      </w:r>
      <w:r w:rsidR="004D0632">
        <w:rPr>
          <w:rFonts w:ascii="David" w:hAnsi="David" w:hint="cs"/>
          <w:noProof w:val="0"/>
          <w:rtl/>
        </w:rPr>
        <w:t>ב</w:t>
      </w:r>
      <w:r w:rsidRPr="00B40998">
        <w:rPr>
          <w:rFonts w:ascii="David" w:hAnsi="David"/>
          <w:noProof w:val="0"/>
          <w:rtl/>
        </w:rPr>
        <w:t>תקנות סדרי הדין משפחה, ו</w:t>
      </w:r>
      <w:r w:rsidR="004D0632">
        <w:rPr>
          <w:rFonts w:ascii="David" w:hAnsi="David" w:hint="cs"/>
          <w:noProof w:val="0"/>
          <w:rtl/>
        </w:rPr>
        <w:t xml:space="preserve">היא גם אינה קימת מכוח תקנות סדר הדין האזרחי, כאשר </w:t>
      </w:r>
      <w:r w:rsidRPr="00B40998">
        <w:rPr>
          <w:rFonts w:ascii="David" w:hAnsi="David"/>
          <w:noProof w:val="0"/>
          <w:rtl/>
        </w:rPr>
        <w:t>תחולת תקנות סדר הדין האזרחי, ובפרט</w:t>
      </w:r>
      <w:r w:rsidR="004D0632">
        <w:rPr>
          <w:rFonts w:ascii="David" w:hAnsi="David" w:hint="cs"/>
          <w:noProof w:val="0"/>
          <w:rtl/>
        </w:rPr>
        <w:t xml:space="preserve"> תחולת</w:t>
      </w:r>
      <w:r w:rsidRPr="00B40998">
        <w:rPr>
          <w:rFonts w:ascii="David" w:hAnsi="David"/>
          <w:noProof w:val="0"/>
          <w:rtl/>
        </w:rPr>
        <w:t xml:space="preserve"> תקנה 137(ב) המאפשרת מועד אר</w:t>
      </w:r>
      <w:r w:rsidR="004D0632">
        <w:rPr>
          <w:rFonts w:ascii="David" w:hAnsi="David" w:hint="cs"/>
          <w:noProof w:val="0"/>
          <w:rtl/>
        </w:rPr>
        <w:t>ו</w:t>
      </w:r>
      <w:r w:rsidRPr="00B40998">
        <w:rPr>
          <w:rFonts w:ascii="David" w:hAnsi="David"/>
          <w:noProof w:val="0"/>
          <w:rtl/>
        </w:rPr>
        <w:t>ך יותר</w:t>
      </w:r>
      <w:r w:rsidR="004D0632">
        <w:rPr>
          <w:rFonts w:ascii="David" w:hAnsi="David" w:hint="cs"/>
          <w:noProof w:val="0"/>
          <w:rtl/>
        </w:rPr>
        <w:t xml:space="preserve"> להגשת ערעור משיב</w:t>
      </w:r>
      <w:r w:rsidRPr="00B40998">
        <w:rPr>
          <w:rFonts w:ascii="David" w:hAnsi="David"/>
          <w:noProof w:val="0"/>
          <w:rtl/>
        </w:rPr>
        <w:t>, נשללה באופן מפורש.</w:t>
      </w:r>
    </w:p>
    <w:p w:rsidR="00C3311F" w:rsidRPr="00B40998" w:rsidRDefault="00C3311F"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לפיכך, פרשנות לשונית רגילה של מכלול התקנות החלות על המקרה, מוביל למסקנה כי אין זכות להגשת ערעור </w:t>
      </w:r>
      <w:r w:rsidR="004D0632">
        <w:rPr>
          <w:rFonts w:ascii="David" w:hAnsi="David" w:hint="cs"/>
          <w:noProof w:val="0"/>
          <w:rtl/>
        </w:rPr>
        <w:t xml:space="preserve">בענייני משפחה </w:t>
      </w:r>
      <w:r w:rsidRPr="00B40998">
        <w:rPr>
          <w:rFonts w:ascii="David" w:hAnsi="David"/>
          <w:noProof w:val="0"/>
          <w:rtl/>
        </w:rPr>
        <w:t xml:space="preserve">לאחר חלוף 45 יום מיום המצאת פסק הדין, </w:t>
      </w:r>
      <w:r w:rsidR="00C24AFF">
        <w:rPr>
          <w:rFonts w:ascii="David" w:hAnsi="David" w:hint="cs"/>
          <w:noProof w:val="0"/>
          <w:rtl/>
        </w:rPr>
        <w:t xml:space="preserve">וזאת </w:t>
      </w:r>
      <w:r w:rsidRPr="00B40998">
        <w:rPr>
          <w:rFonts w:ascii="David" w:hAnsi="David"/>
          <w:noProof w:val="0"/>
          <w:rtl/>
        </w:rPr>
        <w:t xml:space="preserve">גם כאשר הוגש ערעור </w:t>
      </w:r>
      <w:r w:rsidR="004D0632">
        <w:rPr>
          <w:rFonts w:ascii="David" w:hAnsi="David" w:hint="cs"/>
          <w:noProof w:val="0"/>
          <w:rtl/>
        </w:rPr>
        <w:t xml:space="preserve">ראשון </w:t>
      </w:r>
      <w:r w:rsidRPr="00B40998">
        <w:rPr>
          <w:rFonts w:ascii="David" w:hAnsi="David"/>
          <w:noProof w:val="0"/>
          <w:rtl/>
        </w:rPr>
        <w:t>על ידי מי מהצדדים.</w:t>
      </w:r>
    </w:p>
    <w:p w:rsidR="00C3311F" w:rsidRPr="00B40998" w:rsidRDefault="00C3311F" w:rsidP="00C24AFF">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lastRenderedPageBreak/>
        <w:t xml:space="preserve">למרות זאת, טוענת המשיבה, כי </w:t>
      </w:r>
      <w:r w:rsidRPr="004D0632">
        <w:rPr>
          <w:rFonts w:ascii="David" w:hAnsi="David"/>
          <w:b/>
          <w:bCs/>
          <w:noProof w:val="0"/>
          <w:rtl/>
        </w:rPr>
        <w:t>הכוונה</w:t>
      </w:r>
      <w:r w:rsidRPr="00B40998">
        <w:rPr>
          <w:rFonts w:ascii="David" w:hAnsi="David"/>
          <w:noProof w:val="0"/>
          <w:rtl/>
        </w:rPr>
        <w:t xml:space="preserve"> </w:t>
      </w:r>
      <w:r w:rsidR="004D0632" w:rsidRPr="004D0632">
        <w:rPr>
          <w:rFonts w:ascii="David" w:hAnsi="David" w:hint="cs"/>
          <w:b/>
          <w:bCs/>
          <w:noProof w:val="0"/>
          <w:rtl/>
        </w:rPr>
        <w:t>והתכלית</w:t>
      </w:r>
      <w:r w:rsidR="004D0632">
        <w:rPr>
          <w:rFonts w:ascii="David" w:hAnsi="David" w:hint="cs"/>
          <w:noProof w:val="0"/>
          <w:rtl/>
        </w:rPr>
        <w:t xml:space="preserve"> </w:t>
      </w:r>
      <w:r w:rsidRPr="00B40998">
        <w:rPr>
          <w:rFonts w:ascii="David" w:hAnsi="David"/>
          <w:noProof w:val="0"/>
          <w:rtl/>
        </w:rPr>
        <w:t>בתקנה 45(ב)</w:t>
      </w:r>
      <w:r w:rsidR="00C24AFF">
        <w:rPr>
          <w:rFonts w:ascii="David" w:hAnsi="David" w:hint="cs"/>
          <w:noProof w:val="0"/>
          <w:rtl/>
        </w:rPr>
        <w:t>לתקנות סדרי הדין משפחה</w:t>
      </w:r>
      <w:r w:rsidRPr="00B40998">
        <w:rPr>
          <w:rFonts w:ascii="David" w:hAnsi="David"/>
          <w:noProof w:val="0"/>
          <w:rtl/>
        </w:rPr>
        <w:t xml:space="preserve">, </w:t>
      </w:r>
      <w:r w:rsidR="004D0632">
        <w:rPr>
          <w:rFonts w:ascii="David" w:hAnsi="David" w:hint="cs"/>
          <w:noProof w:val="0"/>
          <w:rtl/>
        </w:rPr>
        <w:t xml:space="preserve">תקנה </w:t>
      </w:r>
      <w:r w:rsidRPr="00B40998">
        <w:rPr>
          <w:rFonts w:ascii="David" w:hAnsi="David"/>
          <w:noProof w:val="0"/>
          <w:rtl/>
        </w:rPr>
        <w:t>המבטלת את תחולת תקנה 137(ב) לתקנות סדר הדין האזרחי על סדרי הדין משפחה, אינה לבטל כליל את אפשרות המשיב להגיש ערעור לאחר חלוף 45 י</w:t>
      </w:r>
      <w:r w:rsidR="00C24AFF">
        <w:rPr>
          <w:rFonts w:ascii="David" w:hAnsi="David" w:hint="cs"/>
          <w:noProof w:val="0"/>
          <w:rtl/>
        </w:rPr>
        <w:t>ום</w:t>
      </w:r>
      <w:r w:rsidRPr="00B40998">
        <w:rPr>
          <w:rFonts w:ascii="David" w:hAnsi="David"/>
          <w:noProof w:val="0"/>
          <w:rtl/>
        </w:rPr>
        <w:t xml:space="preserve"> ממועד הגשת הערעור הראשון, אלא רק להגביל </w:t>
      </w:r>
      <w:r w:rsidR="004D0632">
        <w:rPr>
          <w:rFonts w:ascii="David" w:hAnsi="David" w:hint="cs"/>
          <w:noProof w:val="0"/>
          <w:rtl/>
        </w:rPr>
        <w:t xml:space="preserve">תקופה </w:t>
      </w:r>
      <w:r w:rsidRPr="00B40998">
        <w:rPr>
          <w:rFonts w:ascii="David" w:hAnsi="David"/>
          <w:noProof w:val="0"/>
          <w:rtl/>
        </w:rPr>
        <w:t>זאת</w:t>
      </w:r>
      <w:r w:rsidR="004D0632">
        <w:rPr>
          <w:rFonts w:ascii="David" w:hAnsi="David" w:hint="cs"/>
          <w:noProof w:val="0"/>
          <w:rtl/>
        </w:rPr>
        <w:t xml:space="preserve"> ל-</w:t>
      </w:r>
      <w:r w:rsidRPr="00B40998">
        <w:rPr>
          <w:rFonts w:ascii="David" w:hAnsi="David"/>
          <w:noProof w:val="0"/>
          <w:rtl/>
        </w:rPr>
        <w:t xml:space="preserve"> 45 י</w:t>
      </w:r>
      <w:r w:rsidR="00C24AFF">
        <w:rPr>
          <w:rFonts w:ascii="David" w:hAnsi="David" w:hint="cs"/>
          <w:noProof w:val="0"/>
          <w:rtl/>
        </w:rPr>
        <w:t>ו</w:t>
      </w:r>
      <w:r w:rsidRPr="00B40998">
        <w:rPr>
          <w:rFonts w:ascii="David" w:hAnsi="David"/>
          <w:noProof w:val="0"/>
          <w:rtl/>
        </w:rPr>
        <w:t>ם במקום 60 י</w:t>
      </w:r>
      <w:r w:rsidR="00C24AFF">
        <w:rPr>
          <w:rFonts w:ascii="David" w:hAnsi="David" w:hint="cs"/>
          <w:noProof w:val="0"/>
          <w:rtl/>
        </w:rPr>
        <w:t>ום</w:t>
      </w:r>
      <w:r w:rsidRPr="00B40998">
        <w:rPr>
          <w:rFonts w:ascii="David" w:hAnsi="David"/>
          <w:noProof w:val="0"/>
          <w:rtl/>
        </w:rPr>
        <w:t xml:space="preserve"> הקובעים בתקנה 137(ב).</w:t>
      </w:r>
    </w:p>
    <w:p w:rsidR="00C3311F" w:rsidRPr="00B40998" w:rsidRDefault="00C3311F" w:rsidP="00C24AFF">
      <w:pPr>
        <w:pStyle w:val="ad"/>
        <w:spacing w:after="180" w:line="360" w:lineRule="auto"/>
        <w:ind w:left="652"/>
        <w:contextualSpacing w:val="0"/>
        <w:jc w:val="both"/>
        <w:rPr>
          <w:rFonts w:ascii="David" w:hAnsi="David"/>
          <w:noProof w:val="0"/>
          <w:rtl/>
        </w:rPr>
      </w:pPr>
      <w:r w:rsidRPr="00B40998">
        <w:rPr>
          <w:rFonts w:ascii="David" w:hAnsi="David"/>
          <w:noProof w:val="0"/>
          <w:rtl/>
        </w:rPr>
        <w:t>בלשון אחרת, לטענת</w:t>
      </w:r>
      <w:r w:rsidR="00B77B03" w:rsidRPr="00B40998">
        <w:rPr>
          <w:rFonts w:ascii="David" w:hAnsi="David"/>
          <w:noProof w:val="0"/>
          <w:rtl/>
        </w:rPr>
        <w:t xml:space="preserve"> המשיבה חלה 'תקלה' בניסוח תקנה 137(ב), כך שלמ</w:t>
      </w:r>
      <w:r w:rsidR="00A61E00" w:rsidRPr="00B40998">
        <w:rPr>
          <w:rFonts w:ascii="David" w:hAnsi="David"/>
          <w:noProof w:val="0"/>
          <w:rtl/>
        </w:rPr>
        <w:t>ע</w:t>
      </w:r>
      <w:r w:rsidR="00B77B03" w:rsidRPr="00B40998">
        <w:rPr>
          <w:rFonts w:ascii="David" w:hAnsi="David"/>
          <w:noProof w:val="0"/>
          <w:rtl/>
        </w:rPr>
        <w:t>שה היה צר</w:t>
      </w:r>
      <w:r w:rsidR="00A61E00" w:rsidRPr="00B40998">
        <w:rPr>
          <w:rFonts w:ascii="David" w:hAnsi="David"/>
          <w:noProof w:val="0"/>
          <w:rtl/>
        </w:rPr>
        <w:t>י</w:t>
      </w:r>
      <w:r w:rsidR="00B77B03" w:rsidRPr="00B40998">
        <w:rPr>
          <w:rFonts w:ascii="David" w:hAnsi="David"/>
          <w:noProof w:val="0"/>
          <w:rtl/>
        </w:rPr>
        <w:t xml:space="preserve">ך להירשם כי </w:t>
      </w:r>
      <w:r w:rsidR="00A61E00" w:rsidRPr="00B40998">
        <w:rPr>
          <w:rFonts w:ascii="David" w:hAnsi="David"/>
          <w:noProof w:val="0"/>
          <w:rtl/>
        </w:rPr>
        <w:t>רק המועד הקבוע ב</w:t>
      </w:r>
      <w:r w:rsidR="00B77B03" w:rsidRPr="00B40998">
        <w:rPr>
          <w:rFonts w:ascii="David" w:hAnsi="David"/>
          <w:noProof w:val="0"/>
          <w:rtl/>
        </w:rPr>
        <w:t>תקנה 137</w:t>
      </w:r>
      <w:r w:rsidR="00A61E00" w:rsidRPr="00B40998">
        <w:rPr>
          <w:rFonts w:ascii="David" w:hAnsi="David"/>
          <w:noProof w:val="0"/>
          <w:rtl/>
        </w:rPr>
        <w:t xml:space="preserve">(ב) </w:t>
      </w:r>
      <w:r w:rsidR="00C24AFF">
        <w:rPr>
          <w:rFonts w:ascii="David" w:hAnsi="David" w:hint="cs"/>
          <w:noProof w:val="0"/>
          <w:rtl/>
        </w:rPr>
        <w:t>הקובע</w:t>
      </w:r>
      <w:r w:rsidR="00A61E00" w:rsidRPr="00B40998">
        <w:rPr>
          <w:rFonts w:ascii="David" w:hAnsi="David"/>
          <w:noProof w:val="0"/>
          <w:rtl/>
        </w:rPr>
        <w:t xml:space="preserve"> 60 יום </w:t>
      </w:r>
      <w:r w:rsidR="00F608CA">
        <w:rPr>
          <w:rFonts w:ascii="David" w:hAnsi="David" w:hint="cs"/>
          <w:noProof w:val="0"/>
          <w:rtl/>
        </w:rPr>
        <w:t xml:space="preserve">להגשת ערעור משיב </w:t>
      </w:r>
      <w:r w:rsidR="00A61E00" w:rsidRPr="00B40998">
        <w:rPr>
          <w:rFonts w:ascii="David" w:hAnsi="David"/>
          <w:noProof w:val="0"/>
          <w:rtl/>
        </w:rPr>
        <w:t>לא יחול</w:t>
      </w:r>
      <w:r w:rsidR="004D0632">
        <w:rPr>
          <w:rFonts w:ascii="David" w:hAnsi="David" w:hint="cs"/>
          <w:noProof w:val="0"/>
          <w:rtl/>
        </w:rPr>
        <w:t xml:space="preserve"> על ענייני משפחה</w:t>
      </w:r>
      <w:r w:rsidR="00A61E00" w:rsidRPr="00B40998">
        <w:rPr>
          <w:rFonts w:ascii="David" w:hAnsi="David"/>
          <w:noProof w:val="0"/>
          <w:rtl/>
        </w:rPr>
        <w:t xml:space="preserve">, ובמקומו יקבע מועד </w:t>
      </w:r>
      <w:r w:rsidR="004D0632">
        <w:rPr>
          <w:rFonts w:ascii="David" w:hAnsi="David" w:hint="cs"/>
          <w:noProof w:val="0"/>
          <w:rtl/>
        </w:rPr>
        <w:t xml:space="preserve">קצר יותר </w:t>
      </w:r>
      <w:r w:rsidR="00A61E00" w:rsidRPr="00B40998">
        <w:rPr>
          <w:rFonts w:ascii="David" w:hAnsi="David"/>
          <w:noProof w:val="0"/>
          <w:rtl/>
        </w:rPr>
        <w:t>של 45 יום להגשת ערעור משיב.</w:t>
      </w:r>
    </w:p>
    <w:p w:rsidR="00D81149" w:rsidRPr="00B40998" w:rsidRDefault="00D81149" w:rsidP="004D0632">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המשיבה מסתמכת לעניין זה על פסק הדין בעניין עמ"ש (חי') 26203-06-21‏ </w:t>
      </w:r>
      <w:r w:rsidRPr="00B40998">
        <w:rPr>
          <w:rFonts w:ascii="David" w:hAnsi="David"/>
          <w:b/>
          <w:bCs/>
          <w:noProof w:val="0"/>
          <w:rtl/>
        </w:rPr>
        <w:t>א.ב.</w:t>
      </w:r>
      <w:r w:rsidR="004D0632">
        <w:rPr>
          <w:rFonts w:ascii="David" w:hAnsi="David" w:hint="cs"/>
          <w:noProof w:val="0"/>
          <w:rtl/>
        </w:rPr>
        <w:t xml:space="preserve"> לעיל, אשר כאמור מוזכר גם בהחלטת כב' הרשמת מור-אל</w:t>
      </w:r>
      <w:r w:rsidR="00F608CA">
        <w:rPr>
          <w:rFonts w:ascii="David" w:hAnsi="David" w:hint="cs"/>
          <w:noProof w:val="0"/>
          <w:rtl/>
        </w:rPr>
        <w:t xml:space="preserve"> נשוא הערעור</w:t>
      </w:r>
      <w:r w:rsidR="004D0632">
        <w:rPr>
          <w:rFonts w:ascii="David" w:hAnsi="David" w:hint="cs"/>
          <w:noProof w:val="0"/>
          <w:rtl/>
        </w:rPr>
        <w:t>.</w:t>
      </w:r>
    </w:p>
    <w:p w:rsidR="006230DB" w:rsidRPr="00B40998" w:rsidRDefault="00CF65A0" w:rsidP="00ED00B3">
      <w:pPr>
        <w:pStyle w:val="ad"/>
        <w:numPr>
          <w:ilvl w:val="0"/>
          <w:numId w:val="1"/>
        </w:numPr>
        <w:spacing w:after="180" w:line="360" w:lineRule="auto"/>
        <w:ind w:left="652" w:hanging="709"/>
        <w:contextualSpacing w:val="0"/>
        <w:jc w:val="both"/>
        <w:rPr>
          <w:rFonts w:ascii="David" w:hAnsi="David"/>
          <w:noProof w:val="0"/>
          <w:rtl/>
        </w:rPr>
      </w:pPr>
      <w:r w:rsidRPr="00B40998">
        <w:rPr>
          <w:rFonts w:ascii="David" w:hAnsi="David"/>
          <w:noProof w:val="0"/>
          <w:rtl/>
        </w:rPr>
        <w:t xml:space="preserve">למרות שהעיגון הלשוני </w:t>
      </w:r>
      <w:r w:rsidR="0072674A">
        <w:rPr>
          <w:rFonts w:ascii="David" w:hAnsi="David" w:hint="cs"/>
          <w:noProof w:val="0"/>
          <w:rtl/>
        </w:rPr>
        <w:t xml:space="preserve">שמציע </w:t>
      </w:r>
      <w:r w:rsidR="00ED00B3">
        <w:rPr>
          <w:rFonts w:ascii="David" w:hAnsi="David" w:hint="cs"/>
          <w:noProof w:val="0"/>
          <w:rtl/>
        </w:rPr>
        <w:t xml:space="preserve">טיעון זה של </w:t>
      </w:r>
      <w:r w:rsidR="0072674A">
        <w:rPr>
          <w:rFonts w:ascii="David" w:hAnsi="David" w:hint="cs"/>
          <w:noProof w:val="0"/>
          <w:rtl/>
        </w:rPr>
        <w:t>ה</w:t>
      </w:r>
      <w:r w:rsidRPr="00B40998">
        <w:rPr>
          <w:rFonts w:ascii="David" w:hAnsi="David"/>
          <w:noProof w:val="0"/>
          <w:rtl/>
        </w:rPr>
        <w:t>משיבה חלש</w:t>
      </w:r>
      <w:r w:rsidR="00ED00B3">
        <w:rPr>
          <w:rFonts w:ascii="David" w:hAnsi="David" w:hint="cs"/>
          <w:noProof w:val="0"/>
          <w:rtl/>
        </w:rPr>
        <w:t xml:space="preserve"> לטעמי</w:t>
      </w:r>
      <w:r w:rsidRPr="00B40998">
        <w:rPr>
          <w:rFonts w:ascii="David" w:hAnsi="David"/>
          <w:noProof w:val="0"/>
          <w:rtl/>
        </w:rPr>
        <w:t>, אני מוכן לקבל</w:t>
      </w:r>
      <w:r w:rsidR="0072674A">
        <w:rPr>
          <w:rFonts w:ascii="David" w:hAnsi="David" w:hint="cs"/>
          <w:noProof w:val="0"/>
          <w:rtl/>
        </w:rPr>
        <w:t xml:space="preserve"> את העמדה,</w:t>
      </w:r>
      <w:r w:rsidRPr="00B40998">
        <w:rPr>
          <w:rFonts w:ascii="David" w:hAnsi="David"/>
          <w:noProof w:val="0"/>
          <w:rtl/>
        </w:rPr>
        <w:t xml:space="preserve"> </w:t>
      </w:r>
      <w:r w:rsidR="0072674A">
        <w:rPr>
          <w:rFonts w:ascii="David" w:hAnsi="David"/>
          <w:noProof w:val="0"/>
          <w:rtl/>
        </w:rPr>
        <w:t xml:space="preserve">כי קיימת פרשנות לשונית אפשרית, </w:t>
      </w:r>
      <w:r w:rsidR="006A1D17">
        <w:rPr>
          <w:rFonts w:ascii="David" w:hAnsi="David" w:hint="cs"/>
          <w:noProof w:val="0"/>
          <w:rtl/>
        </w:rPr>
        <w:t>א</w:t>
      </w:r>
      <w:r w:rsidRPr="00B40998">
        <w:rPr>
          <w:rFonts w:ascii="David" w:hAnsi="David"/>
          <w:noProof w:val="0"/>
          <w:rtl/>
        </w:rPr>
        <w:t xml:space="preserve">ם כי קלושה, כי </w:t>
      </w:r>
      <w:r w:rsidR="006230DB" w:rsidRPr="00B40998">
        <w:rPr>
          <w:rFonts w:ascii="David" w:hAnsi="David"/>
          <w:noProof w:val="0"/>
          <w:rtl/>
        </w:rPr>
        <w:t xml:space="preserve">לשון תקנה 45 אשר שללה את תחולת תקנה 137, על כלל חלקיה, </w:t>
      </w:r>
      <w:r w:rsidR="00ED00B3">
        <w:rPr>
          <w:rFonts w:ascii="David" w:hAnsi="David" w:hint="cs"/>
          <w:noProof w:val="0"/>
          <w:rtl/>
        </w:rPr>
        <w:t>לא</w:t>
      </w:r>
      <w:r w:rsidR="006230DB" w:rsidRPr="00B40998">
        <w:rPr>
          <w:rFonts w:ascii="David" w:hAnsi="David"/>
          <w:noProof w:val="0"/>
          <w:rtl/>
        </w:rPr>
        <w:t xml:space="preserve"> </w:t>
      </w:r>
      <w:r w:rsidR="0072674A">
        <w:rPr>
          <w:rFonts w:ascii="David" w:hAnsi="David" w:hint="cs"/>
          <w:noProof w:val="0"/>
          <w:rtl/>
        </w:rPr>
        <w:t xml:space="preserve">התכוונה לקבוע </w:t>
      </w:r>
      <w:r w:rsidR="006230DB" w:rsidRPr="00B40998">
        <w:rPr>
          <w:rFonts w:ascii="David" w:hAnsi="David"/>
          <w:noProof w:val="0"/>
          <w:rtl/>
        </w:rPr>
        <w:t>כי אין זכות למשיב להגיש ערעור 45 יום לאחר הערעור הראשון.</w:t>
      </w:r>
    </w:p>
    <w:p w:rsidR="006230DB" w:rsidRPr="00B40998" w:rsidRDefault="006230DB" w:rsidP="0072674A">
      <w:pPr>
        <w:pStyle w:val="ad"/>
        <w:spacing w:after="180" w:line="360" w:lineRule="auto"/>
        <w:ind w:left="652"/>
        <w:contextualSpacing w:val="0"/>
        <w:jc w:val="both"/>
        <w:rPr>
          <w:rFonts w:ascii="David" w:hAnsi="David"/>
          <w:noProof w:val="0"/>
          <w:rtl/>
        </w:rPr>
      </w:pPr>
      <w:r w:rsidRPr="00B40998">
        <w:rPr>
          <w:rFonts w:ascii="David" w:hAnsi="David"/>
          <w:noProof w:val="0"/>
          <w:rtl/>
        </w:rPr>
        <w:t>אבאר. לטעמי המשמעות הלשוני</w:t>
      </w:r>
      <w:r w:rsidR="0072674A">
        <w:rPr>
          <w:rFonts w:ascii="David" w:hAnsi="David" w:hint="cs"/>
          <w:noProof w:val="0"/>
          <w:rtl/>
        </w:rPr>
        <w:t>ת</w:t>
      </w:r>
      <w:r w:rsidRPr="00B40998">
        <w:rPr>
          <w:rFonts w:ascii="David" w:hAnsi="David"/>
          <w:noProof w:val="0"/>
          <w:rtl/>
        </w:rPr>
        <w:t xml:space="preserve"> הברורה </w:t>
      </w:r>
      <w:r w:rsidR="0072674A">
        <w:rPr>
          <w:rFonts w:ascii="David" w:hAnsi="David" w:hint="cs"/>
          <w:noProof w:val="0"/>
          <w:rtl/>
        </w:rPr>
        <w:t xml:space="preserve">והמידית </w:t>
      </w:r>
      <w:r w:rsidRPr="00B40998">
        <w:rPr>
          <w:rFonts w:ascii="David" w:hAnsi="David"/>
          <w:noProof w:val="0"/>
          <w:rtl/>
        </w:rPr>
        <w:t>של תקנה 45 לתקנות סדרי הדין משפחה, לאחר תיקון 2022, הינה להחריג את האמור בתקנה 137</w:t>
      </w:r>
      <w:r w:rsidR="0072674A">
        <w:rPr>
          <w:rFonts w:ascii="David" w:hAnsi="David" w:hint="cs"/>
          <w:noProof w:val="0"/>
          <w:rtl/>
        </w:rPr>
        <w:t>(ב)</w:t>
      </w:r>
      <w:r w:rsidRPr="00B40998">
        <w:rPr>
          <w:rFonts w:ascii="David" w:hAnsi="David"/>
          <w:noProof w:val="0"/>
          <w:rtl/>
        </w:rPr>
        <w:t xml:space="preserve"> </w:t>
      </w:r>
      <w:r w:rsidR="0072674A">
        <w:rPr>
          <w:rFonts w:ascii="David" w:hAnsi="David" w:hint="cs"/>
          <w:noProof w:val="0"/>
          <w:rtl/>
        </w:rPr>
        <w:t>ל</w:t>
      </w:r>
      <w:r w:rsidRPr="00B40998">
        <w:rPr>
          <w:rFonts w:ascii="David" w:hAnsi="David"/>
          <w:noProof w:val="0"/>
          <w:rtl/>
        </w:rPr>
        <w:t xml:space="preserve">תקנות סדר הדין האזרחי, ולקבוע מועד אחד ויחיד להגשת ערעור על פסק דין בענייני משפחה, 45 יום מיום המצאת פסק הדין. </w:t>
      </w:r>
    </w:p>
    <w:p w:rsidR="00CF65A0" w:rsidRPr="00B40998" w:rsidRDefault="006230DB" w:rsidP="00ED00B3">
      <w:pPr>
        <w:pStyle w:val="ad"/>
        <w:spacing w:after="180" w:line="360" w:lineRule="auto"/>
        <w:ind w:left="652"/>
        <w:contextualSpacing w:val="0"/>
        <w:jc w:val="both"/>
        <w:rPr>
          <w:rFonts w:ascii="David" w:hAnsi="David"/>
          <w:noProof w:val="0"/>
          <w:rtl/>
        </w:rPr>
      </w:pPr>
      <w:r w:rsidRPr="00B40998">
        <w:rPr>
          <w:rFonts w:ascii="David" w:hAnsi="David"/>
          <w:noProof w:val="0"/>
          <w:rtl/>
        </w:rPr>
        <w:t>עם זאת, אני מוכן לקבל בדוחק, כי קיימת גם אפשרות לשונית נוספת</w:t>
      </w:r>
      <w:r w:rsidR="0072674A">
        <w:rPr>
          <w:rFonts w:ascii="David" w:hAnsi="David" w:hint="cs"/>
          <w:noProof w:val="0"/>
          <w:rtl/>
        </w:rPr>
        <w:t>,</w:t>
      </w:r>
      <w:r w:rsidRPr="00B40998">
        <w:rPr>
          <w:rFonts w:ascii="David" w:hAnsi="David"/>
          <w:noProof w:val="0"/>
          <w:rtl/>
        </w:rPr>
        <w:t xml:space="preserve"> כי משמעות תקנה 45</w:t>
      </w:r>
      <w:r w:rsidR="00ED00B3">
        <w:rPr>
          <w:rFonts w:ascii="David" w:hAnsi="David" w:hint="cs"/>
          <w:noProof w:val="0"/>
          <w:rtl/>
        </w:rPr>
        <w:t>(ד), השוללת את תחולת תקנה 137,</w:t>
      </w:r>
      <w:r w:rsidRPr="00B40998">
        <w:rPr>
          <w:rFonts w:ascii="David" w:hAnsi="David"/>
          <w:noProof w:val="0"/>
          <w:rtl/>
        </w:rPr>
        <w:t xml:space="preserve"> הינה </w:t>
      </w:r>
      <w:r w:rsidR="00ED00B3">
        <w:rPr>
          <w:rFonts w:ascii="David" w:hAnsi="David" w:hint="cs"/>
          <w:noProof w:val="0"/>
          <w:rtl/>
        </w:rPr>
        <w:t xml:space="preserve">הגבלת </w:t>
      </w:r>
      <w:r w:rsidR="0072674A">
        <w:rPr>
          <w:rFonts w:ascii="David" w:hAnsi="David" w:hint="cs"/>
          <w:noProof w:val="0"/>
          <w:rtl/>
        </w:rPr>
        <w:t xml:space="preserve">מספר הימים המוקצב </w:t>
      </w:r>
      <w:r w:rsidRPr="00B40998">
        <w:rPr>
          <w:rFonts w:ascii="David" w:hAnsi="David"/>
          <w:noProof w:val="0"/>
          <w:rtl/>
        </w:rPr>
        <w:t xml:space="preserve">להגשת </w:t>
      </w:r>
      <w:r w:rsidR="00ED00B3">
        <w:rPr>
          <w:rFonts w:ascii="David" w:hAnsi="David" w:hint="cs"/>
          <w:noProof w:val="0"/>
          <w:rtl/>
        </w:rPr>
        <w:t>ה</w:t>
      </w:r>
      <w:r w:rsidRPr="00B40998">
        <w:rPr>
          <w:rFonts w:ascii="David" w:hAnsi="David"/>
          <w:noProof w:val="0"/>
          <w:rtl/>
        </w:rPr>
        <w:t>ערעור, ה</w:t>
      </w:r>
      <w:r w:rsidR="00ED00B3">
        <w:rPr>
          <w:rFonts w:ascii="David" w:hAnsi="David"/>
          <w:noProof w:val="0"/>
          <w:rtl/>
        </w:rPr>
        <w:t>ן הערעור הראשון והן ערעור המשיב</w:t>
      </w:r>
      <w:r w:rsidR="00ED00B3">
        <w:rPr>
          <w:rFonts w:ascii="David" w:hAnsi="David" w:hint="cs"/>
          <w:noProof w:val="0"/>
          <w:rtl/>
        </w:rPr>
        <w:t>, ואין בכוונתה לבטל את מוסד ערעור המשיב.</w:t>
      </w:r>
    </w:p>
    <w:p w:rsidR="006230DB" w:rsidRPr="00B40998" w:rsidRDefault="0072674A" w:rsidP="0072674A">
      <w:pPr>
        <w:pStyle w:val="ad"/>
        <w:spacing w:after="180" w:line="360" w:lineRule="auto"/>
        <w:ind w:left="652"/>
        <w:contextualSpacing w:val="0"/>
        <w:jc w:val="both"/>
        <w:rPr>
          <w:rFonts w:ascii="David" w:hAnsi="David"/>
          <w:noProof w:val="0"/>
          <w:rtl/>
        </w:rPr>
      </w:pPr>
      <w:r>
        <w:rPr>
          <w:rFonts w:ascii="David" w:hAnsi="David" w:hint="cs"/>
          <w:noProof w:val="0"/>
          <w:rtl/>
        </w:rPr>
        <w:t xml:space="preserve">לאור אפשרות לשונית זו, </w:t>
      </w:r>
      <w:r w:rsidR="006230DB" w:rsidRPr="00B40998">
        <w:rPr>
          <w:rFonts w:ascii="David" w:hAnsi="David"/>
          <w:noProof w:val="0"/>
          <w:rtl/>
        </w:rPr>
        <w:t>אבחן את שני השלבים הנוספים בפרשנות החקיקה, התכלית הסובייקטיבית והתכלית האובייקטיבית.</w:t>
      </w:r>
    </w:p>
    <w:p w:rsidR="006230DB" w:rsidRPr="00B40998" w:rsidRDefault="000A3F94" w:rsidP="00B40998">
      <w:pPr>
        <w:spacing w:after="180" w:line="360" w:lineRule="auto"/>
        <w:jc w:val="both"/>
        <w:rPr>
          <w:rFonts w:ascii="David" w:hAnsi="David"/>
          <w:b/>
          <w:bCs/>
          <w:noProof w:val="0"/>
          <w:u w:val="single"/>
          <w:rtl/>
        </w:rPr>
      </w:pPr>
      <w:r w:rsidRPr="00B40998">
        <w:rPr>
          <w:rFonts w:ascii="David" w:hAnsi="David"/>
          <w:b/>
          <w:bCs/>
          <w:noProof w:val="0"/>
          <w:u w:val="single"/>
          <w:rtl/>
        </w:rPr>
        <w:t>התכלית הסובייקטיבית</w:t>
      </w:r>
    </w:p>
    <w:p w:rsidR="000A3F94" w:rsidRPr="00B40998" w:rsidRDefault="000A3F94" w:rsidP="00ED00B3">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מפסק הדין בעניין </w:t>
      </w:r>
      <w:r w:rsidRPr="00B40998">
        <w:rPr>
          <w:rFonts w:ascii="David" w:hAnsi="David"/>
          <w:b/>
          <w:bCs/>
          <w:noProof w:val="0"/>
          <w:rtl/>
        </w:rPr>
        <w:t>פלוני</w:t>
      </w:r>
      <w:r w:rsidRPr="00B40998">
        <w:rPr>
          <w:rFonts w:ascii="David" w:hAnsi="David"/>
          <w:noProof w:val="0"/>
          <w:rtl/>
        </w:rPr>
        <w:t xml:space="preserve"> לעיל</w:t>
      </w:r>
      <w:r w:rsidR="00ED00B3">
        <w:rPr>
          <w:rFonts w:ascii="David" w:hAnsi="David" w:hint="cs"/>
          <w:noProof w:val="0"/>
          <w:rtl/>
        </w:rPr>
        <w:t>, אנו למדים</w:t>
      </w:r>
      <w:r w:rsidRPr="00B40998">
        <w:rPr>
          <w:rFonts w:ascii="David" w:hAnsi="David"/>
          <w:noProof w:val="0"/>
          <w:rtl/>
        </w:rPr>
        <w:t xml:space="preserve"> </w:t>
      </w:r>
      <w:r w:rsidR="00ED00B3">
        <w:rPr>
          <w:rFonts w:ascii="David" w:hAnsi="David" w:hint="cs"/>
          <w:noProof w:val="0"/>
          <w:rtl/>
        </w:rPr>
        <w:t xml:space="preserve">כי </w:t>
      </w:r>
      <w:r w:rsidRPr="00B40998">
        <w:rPr>
          <w:rFonts w:ascii="David" w:hAnsi="David"/>
          <w:noProof w:val="0"/>
          <w:rtl/>
        </w:rPr>
        <w:t xml:space="preserve">את התכלית הסובייקטיבית ניתן </w:t>
      </w:r>
      <w:r w:rsidR="0072674A">
        <w:rPr>
          <w:rFonts w:ascii="David" w:hAnsi="David" w:hint="cs"/>
          <w:noProof w:val="0"/>
          <w:rtl/>
        </w:rPr>
        <w:t>ל</w:t>
      </w:r>
      <w:r w:rsidRPr="00B40998">
        <w:rPr>
          <w:rFonts w:ascii="David" w:hAnsi="David"/>
          <w:noProof w:val="0"/>
          <w:rtl/>
        </w:rPr>
        <w:t>למוד מההיסטוריה החקיקתית, דברי ההסבר ומבנה החוק.</w:t>
      </w:r>
    </w:p>
    <w:p w:rsidR="000A3F94" w:rsidRPr="00B40998" w:rsidRDefault="000A3F94"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במקרה שלפניי מדובר בתקנות ולא בחקיקה ראשית, ולכן אין 'דברי הסבר' כמובנם</w:t>
      </w:r>
      <w:r w:rsidR="00D634EA" w:rsidRPr="00B40998">
        <w:rPr>
          <w:rFonts w:ascii="David" w:hAnsi="David"/>
          <w:noProof w:val="0"/>
          <w:rtl/>
        </w:rPr>
        <w:t xml:space="preserve"> בהליכי חקיקה ראשית. </w:t>
      </w:r>
    </w:p>
    <w:p w:rsidR="0072674A" w:rsidRDefault="00D634EA" w:rsidP="0072674A">
      <w:pPr>
        <w:pStyle w:val="ad"/>
        <w:spacing w:after="180" w:line="360" w:lineRule="auto"/>
        <w:ind w:left="652"/>
        <w:contextualSpacing w:val="0"/>
        <w:jc w:val="both"/>
        <w:rPr>
          <w:rFonts w:ascii="David" w:hAnsi="David"/>
          <w:noProof w:val="0"/>
          <w:rtl/>
        </w:rPr>
      </w:pPr>
      <w:r w:rsidRPr="00B40998">
        <w:rPr>
          <w:rFonts w:ascii="David" w:hAnsi="David"/>
          <w:noProof w:val="0"/>
          <w:rtl/>
        </w:rPr>
        <w:lastRenderedPageBreak/>
        <w:t>במאמר מוסגר אציין</w:t>
      </w:r>
      <w:r w:rsidR="0072674A">
        <w:rPr>
          <w:rFonts w:ascii="David" w:hAnsi="David" w:hint="cs"/>
          <w:noProof w:val="0"/>
          <w:rtl/>
        </w:rPr>
        <w:t>,</w:t>
      </w:r>
      <w:r w:rsidRPr="00B40998">
        <w:rPr>
          <w:rFonts w:ascii="David" w:hAnsi="David"/>
          <w:noProof w:val="0"/>
          <w:rtl/>
        </w:rPr>
        <w:t xml:space="preserve"> כי גם בהליכי חקיקה ראשית אין עיגון רשמי לחובת הכנת דבר</w:t>
      </w:r>
      <w:r w:rsidR="003435A6" w:rsidRPr="00B40998">
        <w:rPr>
          <w:rFonts w:ascii="David" w:hAnsi="David"/>
          <w:noProof w:val="0"/>
          <w:rtl/>
        </w:rPr>
        <w:t>י</w:t>
      </w:r>
      <w:r w:rsidRPr="00B40998">
        <w:rPr>
          <w:rFonts w:ascii="David" w:hAnsi="David"/>
          <w:noProof w:val="0"/>
          <w:rtl/>
        </w:rPr>
        <w:t xml:space="preserve"> הסבר להצעו</w:t>
      </w:r>
      <w:r w:rsidR="003435A6" w:rsidRPr="00B40998">
        <w:rPr>
          <w:rFonts w:ascii="David" w:hAnsi="David"/>
          <w:noProof w:val="0"/>
          <w:rtl/>
        </w:rPr>
        <w:t>ת חוק.</w:t>
      </w:r>
      <w:r w:rsidRPr="00B40998">
        <w:rPr>
          <w:rFonts w:ascii="David" w:hAnsi="David"/>
          <w:noProof w:val="0"/>
          <w:rtl/>
        </w:rPr>
        <w:t xml:space="preserve"> </w:t>
      </w:r>
      <w:r w:rsidR="0072674A">
        <w:rPr>
          <w:rFonts w:ascii="David" w:hAnsi="David" w:hint="cs"/>
          <w:noProof w:val="0"/>
          <w:rtl/>
        </w:rPr>
        <w:t xml:space="preserve">עם זאת, </w:t>
      </w:r>
      <w:r w:rsidRPr="00B40998">
        <w:rPr>
          <w:rFonts w:ascii="David" w:hAnsi="David"/>
          <w:noProof w:val="0"/>
          <w:rtl/>
        </w:rPr>
        <w:t>כאשר מדובר בהצעות חוק ממשלתיות</w:t>
      </w:r>
      <w:r w:rsidR="003435A6" w:rsidRPr="00B40998">
        <w:rPr>
          <w:rFonts w:ascii="David" w:hAnsi="David"/>
          <w:noProof w:val="0"/>
          <w:rtl/>
        </w:rPr>
        <w:t>,</w:t>
      </w:r>
      <w:r w:rsidRPr="00B40998">
        <w:rPr>
          <w:rFonts w:ascii="David" w:hAnsi="David"/>
          <w:noProof w:val="0"/>
          <w:rtl/>
        </w:rPr>
        <w:t xml:space="preserve"> מדובר בנוהג מחייב עוד מתקופת המנדט, </w:t>
      </w:r>
      <w:r w:rsidR="0072674A">
        <w:rPr>
          <w:rFonts w:ascii="David" w:hAnsi="David" w:hint="cs"/>
          <w:noProof w:val="0"/>
          <w:rtl/>
        </w:rPr>
        <w:t xml:space="preserve">למרות שזה </w:t>
      </w:r>
      <w:r w:rsidRPr="00B40998">
        <w:rPr>
          <w:rFonts w:ascii="David" w:hAnsi="David"/>
          <w:noProof w:val="0"/>
          <w:rtl/>
        </w:rPr>
        <w:t>אינו מעוגן בהסדר חקיקתי שלם.</w:t>
      </w:r>
    </w:p>
    <w:p w:rsidR="00D634EA" w:rsidRPr="00B40998" w:rsidRDefault="004B65FE" w:rsidP="004B65FE">
      <w:pPr>
        <w:pStyle w:val="ad"/>
        <w:spacing w:after="180" w:line="360" w:lineRule="auto"/>
        <w:ind w:left="652"/>
        <w:contextualSpacing w:val="0"/>
        <w:jc w:val="both"/>
        <w:rPr>
          <w:rFonts w:ascii="David" w:hAnsi="David"/>
          <w:noProof w:val="0"/>
        </w:rPr>
      </w:pPr>
      <w:r>
        <w:rPr>
          <w:rFonts w:ascii="David" w:hAnsi="David" w:hint="cs"/>
          <w:noProof w:val="0"/>
          <w:rtl/>
        </w:rPr>
        <w:t>זאת ועוד,</w:t>
      </w:r>
      <w:r w:rsidR="0072674A">
        <w:rPr>
          <w:rFonts w:ascii="David" w:hAnsi="David" w:hint="cs"/>
          <w:noProof w:val="0"/>
          <w:rtl/>
        </w:rPr>
        <w:t xml:space="preserve"> </w:t>
      </w:r>
      <w:r w:rsidR="00D634EA" w:rsidRPr="00B40998">
        <w:rPr>
          <w:rFonts w:ascii="David" w:hAnsi="David"/>
          <w:noProof w:val="0"/>
          <w:rtl/>
        </w:rPr>
        <w:t>ניתן למצוא אזכורים בח</w:t>
      </w:r>
      <w:r w:rsidR="0072674A">
        <w:rPr>
          <w:rFonts w:ascii="David" w:hAnsi="David" w:hint="cs"/>
          <w:noProof w:val="0"/>
          <w:rtl/>
        </w:rPr>
        <w:t>י</w:t>
      </w:r>
      <w:r w:rsidR="00D634EA" w:rsidRPr="00B40998">
        <w:rPr>
          <w:rFonts w:ascii="David" w:hAnsi="David"/>
          <w:noProof w:val="0"/>
          <w:rtl/>
        </w:rPr>
        <w:t xml:space="preserve">קוקים ספציפיים למוסד </w:t>
      </w:r>
      <w:r>
        <w:rPr>
          <w:rFonts w:ascii="David" w:hAnsi="David" w:hint="cs"/>
          <w:noProof w:val="0"/>
          <w:rtl/>
        </w:rPr>
        <w:t>'</w:t>
      </w:r>
      <w:r w:rsidR="00D634EA" w:rsidRPr="00B40998">
        <w:rPr>
          <w:rFonts w:ascii="David" w:hAnsi="David"/>
          <w:noProof w:val="0"/>
          <w:rtl/>
        </w:rPr>
        <w:t>דברי ההסבר</w:t>
      </w:r>
      <w:r>
        <w:rPr>
          <w:rFonts w:ascii="David" w:hAnsi="David" w:hint="cs"/>
          <w:noProof w:val="0"/>
          <w:rtl/>
        </w:rPr>
        <w:t>'</w:t>
      </w:r>
      <w:r w:rsidR="0072674A">
        <w:rPr>
          <w:rFonts w:ascii="David" w:hAnsi="David" w:hint="cs"/>
          <w:noProof w:val="0"/>
          <w:rtl/>
        </w:rPr>
        <w:t>,</w:t>
      </w:r>
      <w:r w:rsidR="00D634EA" w:rsidRPr="00B40998">
        <w:rPr>
          <w:rFonts w:ascii="David" w:hAnsi="David"/>
          <w:noProof w:val="0"/>
          <w:rtl/>
        </w:rPr>
        <w:t xml:space="preserve"> ר', למשל, </w:t>
      </w:r>
      <w:r w:rsidR="00203B2A" w:rsidRPr="00B40998">
        <w:rPr>
          <w:rFonts w:ascii="David" w:hAnsi="David"/>
          <w:noProof w:val="0"/>
          <w:rtl/>
        </w:rPr>
        <w:t>סעיף 39א' לחוק יסודות התקציב, תשמ"ה - 1985 שהוסף במסגרת תיקון מס' 4 לחוק (ס"ח תשמ"ח מס' 1245 מיום 29.3.1988 עמ' 58).</w:t>
      </w:r>
    </w:p>
    <w:p w:rsidR="00203B2A" w:rsidRPr="00B40998" w:rsidRDefault="00203B2A" w:rsidP="004B65FE">
      <w:pPr>
        <w:pStyle w:val="ad"/>
        <w:spacing w:after="180" w:line="360" w:lineRule="auto"/>
        <w:ind w:left="652"/>
        <w:contextualSpacing w:val="0"/>
        <w:jc w:val="both"/>
        <w:rPr>
          <w:rFonts w:ascii="David" w:hAnsi="David"/>
          <w:noProof w:val="0"/>
          <w:rtl/>
        </w:rPr>
      </w:pPr>
      <w:r w:rsidRPr="00B40998">
        <w:rPr>
          <w:rFonts w:ascii="David" w:hAnsi="David"/>
          <w:noProof w:val="0"/>
          <w:rtl/>
        </w:rPr>
        <w:t>עוד על העיגון החקיקתי לדברי ההסבר</w:t>
      </w:r>
      <w:r w:rsidR="00B92EF6">
        <w:rPr>
          <w:rFonts w:ascii="David" w:hAnsi="David" w:hint="cs"/>
          <w:noProof w:val="0"/>
          <w:rtl/>
        </w:rPr>
        <w:t xml:space="preserve"> לחקיקה,</w:t>
      </w:r>
      <w:r w:rsidRPr="00B40998">
        <w:rPr>
          <w:rFonts w:ascii="David" w:hAnsi="David"/>
          <w:noProof w:val="0"/>
          <w:rtl/>
        </w:rPr>
        <w:t xml:space="preserve"> ר' בל יוסף ונועה קברטץ-אברהם, </w:t>
      </w:r>
      <w:r w:rsidRPr="00B40998">
        <w:rPr>
          <w:rFonts w:ascii="David" w:hAnsi="David"/>
          <w:b/>
          <w:bCs/>
          <w:noProof w:val="0"/>
          <w:rtl/>
        </w:rPr>
        <w:t>'פרשנות תכליתית החותרת תחת התכלית: על מעמדם של דברי ההסבר בחוק ובפסיקה'</w:t>
      </w:r>
      <w:r w:rsidR="00B92EF6">
        <w:rPr>
          <w:rFonts w:ascii="David" w:hAnsi="David" w:hint="cs"/>
          <w:b/>
          <w:bCs/>
          <w:noProof w:val="0"/>
          <w:rtl/>
        </w:rPr>
        <w:t xml:space="preserve"> </w:t>
      </w:r>
      <w:r w:rsidR="00B92EF6" w:rsidRPr="00B92EF6">
        <w:rPr>
          <w:rFonts w:ascii="David" w:hAnsi="David" w:hint="cs"/>
          <w:noProof w:val="0"/>
          <w:rtl/>
        </w:rPr>
        <w:t>(פורסם ברשת בקישור</w:t>
      </w:r>
      <w:r w:rsidR="00B92EF6">
        <w:rPr>
          <w:rFonts w:ascii="David" w:hAnsi="David" w:hint="cs"/>
          <w:b/>
          <w:bCs/>
          <w:noProof w:val="0"/>
          <w:rtl/>
        </w:rPr>
        <w:t xml:space="preserve"> - </w:t>
      </w:r>
      <w:hyperlink r:id="rId9" w:history="1">
        <w:r w:rsidRPr="00B40998">
          <w:rPr>
            <w:rFonts w:ascii="David" w:hAnsi="David"/>
          </w:rPr>
          <w:t>https://ssrn.com/abstract=4082746</w:t>
        </w:r>
      </w:hyperlink>
      <w:r w:rsidRPr="00B40998">
        <w:rPr>
          <w:rFonts w:ascii="David" w:hAnsi="David"/>
          <w:noProof w:val="0"/>
          <w:rtl/>
        </w:rPr>
        <w:t>) (להלן</w:t>
      </w:r>
      <w:r w:rsidR="00F41B59" w:rsidRPr="00B40998">
        <w:rPr>
          <w:rFonts w:ascii="David" w:hAnsi="David"/>
          <w:noProof w:val="0"/>
          <w:rtl/>
        </w:rPr>
        <w:t xml:space="preserve"> ו</w:t>
      </w:r>
      <w:r w:rsidR="004B65FE">
        <w:rPr>
          <w:rFonts w:ascii="David" w:hAnsi="David" w:hint="cs"/>
          <w:noProof w:val="0"/>
          <w:rtl/>
        </w:rPr>
        <w:t>ל</w:t>
      </w:r>
      <w:r w:rsidR="00F41B59" w:rsidRPr="00B40998">
        <w:rPr>
          <w:rFonts w:ascii="David" w:hAnsi="David"/>
          <w:noProof w:val="0"/>
          <w:rtl/>
        </w:rPr>
        <w:t>שם הנוחות</w:t>
      </w:r>
      <w:r w:rsidRPr="00B40998">
        <w:rPr>
          <w:rFonts w:ascii="David" w:hAnsi="David"/>
          <w:noProof w:val="0"/>
          <w:rtl/>
        </w:rPr>
        <w:t>:</w:t>
      </w:r>
      <w:r w:rsidRPr="00B40998">
        <w:rPr>
          <w:rFonts w:ascii="David" w:hAnsi="David"/>
          <w:b/>
          <w:bCs/>
          <w:noProof w:val="0"/>
          <w:rtl/>
        </w:rPr>
        <w:t xml:space="preserve"> "</w:t>
      </w:r>
      <w:r w:rsidR="00F41B59" w:rsidRPr="00B40998">
        <w:rPr>
          <w:rFonts w:ascii="David" w:hAnsi="David"/>
          <w:b/>
          <w:bCs/>
          <w:noProof w:val="0"/>
          <w:rtl/>
        </w:rPr>
        <w:t xml:space="preserve">מאמר </w:t>
      </w:r>
      <w:r w:rsidRPr="00B40998">
        <w:rPr>
          <w:rFonts w:ascii="David" w:hAnsi="David"/>
          <w:b/>
          <w:bCs/>
          <w:noProof w:val="0"/>
          <w:rtl/>
        </w:rPr>
        <w:t>יוסף וקברטץ-אברהם"</w:t>
      </w:r>
      <w:r w:rsidRPr="00B40998">
        <w:rPr>
          <w:rFonts w:ascii="David" w:hAnsi="David"/>
          <w:noProof w:val="0"/>
          <w:rtl/>
        </w:rPr>
        <w:t>)</w:t>
      </w:r>
      <w:r w:rsidR="003435A6" w:rsidRPr="00B40998">
        <w:rPr>
          <w:rFonts w:ascii="David" w:hAnsi="David"/>
          <w:noProof w:val="0"/>
          <w:rtl/>
        </w:rPr>
        <w:t>.</w:t>
      </w:r>
    </w:p>
    <w:p w:rsidR="008356AA" w:rsidRPr="00B40998" w:rsidRDefault="003435A6" w:rsidP="00B92EF6">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לגבי חקיקת משנה, הרי ש</w:t>
      </w:r>
      <w:r w:rsidR="00B92EF6">
        <w:rPr>
          <w:rFonts w:ascii="David" w:hAnsi="David" w:hint="cs"/>
          <w:noProof w:val="0"/>
          <w:rtl/>
        </w:rPr>
        <w:t>לגביה אין</w:t>
      </w:r>
      <w:r w:rsidRPr="00B40998">
        <w:rPr>
          <w:rFonts w:ascii="David" w:hAnsi="David"/>
          <w:noProof w:val="0"/>
          <w:rtl/>
        </w:rPr>
        <w:t xml:space="preserve"> נ</w:t>
      </w:r>
      <w:r w:rsidR="00B92EF6">
        <w:rPr>
          <w:rFonts w:ascii="David" w:hAnsi="David" w:hint="cs"/>
          <w:noProof w:val="0"/>
          <w:rtl/>
        </w:rPr>
        <w:t>ו</w:t>
      </w:r>
      <w:r w:rsidRPr="00B40998">
        <w:rPr>
          <w:rFonts w:ascii="David" w:hAnsi="David"/>
          <w:noProof w:val="0"/>
          <w:rtl/>
        </w:rPr>
        <w:t>הג רב שנים המחייב הכנת דברי הסבר, עם זאת בשנים האחרונות התגבש נ</w:t>
      </w:r>
      <w:r w:rsidR="00B92EF6">
        <w:rPr>
          <w:rFonts w:ascii="David" w:hAnsi="David" w:hint="cs"/>
          <w:noProof w:val="0"/>
          <w:rtl/>
        </w:rPr>
        <w:t>ו</w:t>
      </w:r>
      <w:r w:rsidRPr="00B40998">
        <w:rPr>
          <w:rFonts w:ascii="David" w:hAnsi="David"/>
          <w:noProof w:val="0"/>
          <w:rtl/>
        </w:rPr>
        <w:t xml:space="preserve">הג כי גם בחקיקת משנה מהותית יש צורך בדברי הסבר. </w:t>
      </w:r>
      <w:r w:rsidR="00785ADB" w:rsidRPr="00B40998">
        <w:rPr>
          <w:rFonts w:ascii="David" w:hAnsi="David"/>
          <w:noProof w:val="0"/>
          <w:rtl/>
        </w:rPr>
        <w:t>ר', למשל, סעיף 4(ד1) לחוק סמכויות מיוחדות להתמודדות עם נגיף הקורונה החדש (הוראת שעה), תש"ף-2020</w:t>
      </w:r>
      <w:r w:rsidR="00B92EF6">
        <w:rPr>
          <w:rFonts w:ascii="David" w:hAnsi="David" w:hint="cs"/>
          <w:noProof w:val="0"/>
          <w:rtl/>
        </w:rPr>
        <w:t>, המחייב הכנת דברי הסבר לחקיקת משנה מכוחו.</w:t>
      </w:r>
    </w:p>
    <w:p w:rsidR="008356AA" w:rsidRPr="00B40998" w:rsidRDefault="00785ADB" w:rsidP="004B65FE">
      <w:pPr>
        <w:pStyle w:val="ad"/>
        <w:spacing w:after="180" w:line="360" w:lineRule="auto"/>
        <w:ind w:left="652"/>
        <w:contextualSpacing w:val="0"/>
        <w:jc w:val="both"/>
        <w:rPr>
          <w:rFonts w:ascii="David" w:hAnsi="David"/>
          <w:noProof w:val="0"/>
        </w:rPr>
      </w:pPr>
      <w:r w:rsidRPr="00B40998">
        <w:rPr>
          <w:rFonts w:ascii="David" w:hAnsi="David"/>
          <w:noProof w:val="0"/>
          <w:rtl/>
        </w:rPr>
        <w:t>בכל מקרה, ב</w:t>
      </w:r>
      <w:r w:rsidR="004B65FE">
        <w:rPr>
          <w:rFonts w:ascii="David" w:hAnsi="David" w:hint="cs"/>
          <w:noProof w:val="0"/>
          <w:rtl/>
        </w:rPr>
        <w:t>ענייננו,</w:t>
      </w:r>
      <w:r w:rsidRPr="00B40998">
        <w:rPr>
          <w:rFonts w:ascii="David" w:hAnsi="David"/>
          <w:noProof w:val="0"/>
          <w:rtl/>
        </w:rPr>
        <w:t xml:space="preserve"> הוציא משרד המשפטים תזכיר תקנות מפורט טרם חקיקת המשנה, </w:t>
      </w:r>
      <w:r w:rsidR="00B92EF6">
        <w:rPr>
          <w:rFonts w:ascii="David" w:hAnsi="David" w:hint="cs"/>
          <w:noProof w:val="0"/>
          <w:rtl/>
        </w:rPr>
        <w:t xml:space="preserve">תזכיר </w:t>
      </w:r>
      <w:r w:rsidRPr="00B40998">
        <w:rPr>
          <w:rFonts w:ascii="David" w:hAnsi="David"/>
          <w:noProof w:val="0"/>
          <w:rtl/>
        </w:rPr>
        <w:t>הכולל</w:t>
      </w:r>
      <w:r w:rsidR="00B92EF6">
        <w:rPr>
          <w:rFonts w:ascii="David" w:hAnsi="David" w:hint="cs"/>
          <w:noProof w:val="0"/>
          <w:rtl/>
        </w:rPr>
        <w:t xml:space="preserve"> </w:t>
      </w:r>
      <w:r w:rsidRPr="00B40998">
        <w:rPr>
          <w:rFonts w:ascii="David" w:hAnsi="David"/>
          <w:noProof w:val="0"/>
          <w:rtl/>
        </w:rPr>
        <w:t>דברי הסבר מפורטים, כאמור לעיל.</w:t>
      </w:r>
    </w:p>
    <w:p w:rsidR="00785ADB" w:rsidRPr="00B40998" w:rsidRDefault="004B65FE" w:rsidP="00B40998">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 xml:space="preserve">במקרה שלפניי </w:t>
      </w:r>
      <w:r w:rsidR="00785ADB" w:rsidRPr="00B40998">
        <w:rPr>
          <w:rFonts w:ascii="David" w:hAnsi="David"/>
          <w:noProof w:val="0"/>
          <w:rtl/>
        </w:rPr>
        <w:t xml:space="preserve">דברי ההסבר </w:t>
      </w:r>
      <w:r w:rsidR="00B92EF6">
        <w:rPr>
          <w:rFonts w:ascii="David" w:hAnsi="David" w:hint="cs"/>
          <w:noProof w:val="0"/>
          <w:rtl/>
        </w:rPr>
        <w:t xml:space="preserve">המפורטים בתזכיר </w:t>
      </w:r>
      <w:r w:rsidR="00785ADB" w:rsidRPr="00B40998">
        <w:rPr>
          <w:rFonts w:ascii="David" w:hAnsi="David"/>
          <w:noProof w:val="0"/>
          <w:rtl/>
        </w:rPr>
        <w:t xml:space="preserve">מתייחסים באופן מפורש וברור לסוגיה הפרשנית אשר עומדת לדיון, ומבהירים את הכוונה הסובייקטיבית של מתקין התקנות.   </w:t>
      </w:r>
    </w:p>
    <w:p w:rsidR="0012686B" w:rsidRPr="00B40998" w:rsidRDefault="00B92EF6" w:rsidP="00B40998">
      <w:pPr>
        <w:pStyle w:val="ad"/>
        <w:spacing w:after="180" w:line="360" w:lineRule="auto"/>
        <w:ind w:left="652"/>
        <w:contextualSpacing w:val="0"/>
        <w:jc w:val="both"/>
        <w:rPr>
          <w:rFonts w:ascii="David" w:hAnsi="David"/>
          <w:noProof w:val="0"/>
          <w:rtl/>
        </w:rPr>
      </w:pPr>
      <w:r>
        <w:rPr>
          <w:rFonts w:ascii="David" w:hAnsi="David" w:hint="cs"/>
          <w:noProof w:val="0"/>
          <w:rtl/>
        </w:rPr>
        <w:t xml:space="preserve">אדגיש, </w:t>
      </w:r>
      <w:r w:rsidR="0012686B" w:rsidRPr="00B40998">
        <w:rPr>
          <w:rFonts w:ascii="David" w:hAnsi="David"/>
          <w:noProof w:val="0"/>
          <w:rtl/>
        </w:rPr>
        <w:t>דברי ההסבר נהירים לגמרי והם מסבירים הן את התכלית שבתיקון והן את תוצאת התיקון.</w:t>
      </w:r>
    </w:p>
    <w:p w:rsidR="0012686B" w:rsidRPr="00B40998" w:rsidRDefault="0012686B" w:rsidP="004B65FE">
      <w:pPr>
        <w:pStyle w:val="ad"/>
        <w:spacing w:after="180" w:line="360" w:lineRule="auto"/>
        <w:ind w:left="652"/>
        <w:contextualSpacing w:val="0"/>
        <w:jc w:val="both"/>
        <w:rPr>
          <w:rFonts w:ascii="David" w:hAnsi="David"/>
          <w:b/>
          <w:bCs/>
          <w:noProof w:val="0"/>
          <w:rtl/>
        </w:rPr>
      </w:pPr>
      <w:r w:rsidRPr="00B40998">
        <w:rPr>
          <w:rFonts w:ascii="David" w:hAnsi="David"/>
          <w:noProof w:val="0"/>
          <w:rtl/>
        </w:rPr>
        <w:t>כך, תכלית תיקון</w:t>
      </w:r>
      <w:r w:rsidR="00B92EF6">
        <w:rPr>
          <w:rFonts w:ascii="David" w:hAnsi="David" w:hint="cs"/>
          <w:noProof w:val="0"/>
          <w:rtl/>
        </w:rPr>
        <w:t xml:space="preserve"> בהתאם לדברי ההסבר</w:t>
      </w:r>
      <w:r w:rsidRPr="00B40998">
        <w:rPr>
          <w:rFonts w:ascii="David" w:hAnsi="David"/>
          <w:noProof w:val="0"/>
          <w:rtl/>
        </w:rPr>
        <w:t xml:space="preserve"> הינ</w:t>
      </w:r>
      <w:r w:rsidR="00B92EF6">
        <w:rPr>
          <w:rFonts w:ascii="David" w:hAnsi="David" w:hint="cs"/>
          <w:noProof w:val="0"/>
          <w:rtl/>
        </w:rPr>
        <w:t>ה</w:t>
      </w:r>
      <w:r w:rsidR="004B65FE">
        <w:rPr>
          <w:rFonts w:ascii="David" w:hAnsi="David" w:hint="cs"/>
          <w:noProof w:val="0"/>
          <w:rtl/>
        </w:rPr>
        <w:t>,</w:t>
      </w:r>
      <w:r w:rsidRPr="00B40998">
        <w:rPr>
          <w:rFonts w:ascii="David" w:hAnsi="David"/>
          <w:noProof w:val="0"/>
          <w:rtl/>
        </w:rPr>
        <w:t xml:space="preserve"> מניעת התארכות ההליכים בענייני משפחה, ובלשון דברי ההסבר - "</w:t>
      </w:r>
      <w:r w:rsidRPr="00B40998">
        <w:rPr>
          <w:rFonts w:ascii="David" w:hAnsi="David"/>
          <w:b/>
          <w:bCs/>
          <w:noProof w:val="0"/>
          <w:rtl/>
        </w:rPr>
        <w:t>על מנת למנוע התארכות הליכים בהליכי משפחה..."</w:t>
      </w:r>
    </w:p>
    <w:p w:rsidR="00874484" w:rsidRPr="00B40998" w:rsidRDefault="0012686B" w:rsidP="004B65FE">
      <w:pPr>
        <w:pStyle w:val="ad"/>
        <w:spacing w:after="180" w:line="360" w:lineRule="auto"/>
        <w:ind w:left="652"/>
        <w:contextualSpacing w:val="0"/>
        <w:jc w:val="both"/>
        <w:rPr>
          <w:rFonts w:ascii="David" w:hAnsi="David"/>
          <w:b/>
          <w:bCs/>
          <w:noProof w:val="0"/>
          <w:rtl/>
        </w:rPr>
      </w:pPr>
      <w:r w:rsidRPr="00B40998">
        <w:rPr>
          <w:rFonts w:ascii="David" w:hAnsi="David"/>
          <w:noProof w:val="0"/>
          <w:rtl/>
        </w:rPr>
        <w:t>וכך</w:t>
      </w:r>
      <w:r w:rsidR="004B65FE">
        <w:rPr>
          <w:rFonts w:ascii="David" w:hAnsi="David" w:hint="cs"/>
          <w:noProof w:val="0"/>
          <w:rtl/>
        </w:rPr>
        <w:t>,</w:t>
      </w:r>
      <w:r w:rsidRPr="00B40998">
        <w:rPr>
          <w:rFonts w:ascii="David" w:hAnsi="David"/>
          <w:noProof w:val="0"/>
          <w:rtl/>
        </w:rPr>
        <w:t xml:space="preserve"> התוצאה </w:t>
      </w:r>
      <w:r w:rsidR="00B92EF6">
        <w:rPr>
          <w:rFonts w:ascii="David" w:hAnsi="David" w:hint="cs"/>
          <w:noProof w:val="0"/>
          <w:rtl/>
        </w:rPr>
        <w:t>של התיקון לפי דברי ההסבר הינה,</w:t>
      </w:r>
      <w:r w:rsidRPr="00B40998">
        <w:rPr>
          <w:rFonts w:ascii="David" w:hAnsi="David"/>
          <w:noProof w:val="0"/>
          <w:rtl/>
        </w:rPr>
        <w:t xml:space="preserve"> כי לא ני</w:t>
      </w:r>
      <w:r w:rsidR="00874484" w:rsidRPr="00B40998">
        <w:rPr>
          <w:rFonts w:ascii="David" w:hAnsi="David"/>
          <w:noProof w:val="0"/>
          <w:rtl/>
        </w:rPr>
        <w:t xml:space="preserve">תן </w:t>
      </w:r>
      <w:r w:rsidR="004B65FE">
        <w:rPr>
          <w:rFonts w:ascii="David" w:hAnsi="David" w:hint="cs"/>
          <w:noProof w:val="0"/>
          <w:rtl/>
        </w:rPr>
        <w:t xml:space="preserve">יהיה </w:t>
      </w:r>
      <w:r w:rsidR="00874484" w:rsidRPr="00B40998">
        <w:rPr>
          <w:rFonts w:ascii="David" w:hAnsi="David"/>
          <w:noProof w:val="0"/>
          <w:rtl/>
        </w:rPr>
        <w:t xml:space="preserve">להגיש ערעור </w:t>
      </w:r>
      <w:r w:rsidR="004B65FE">
        <w:rPr>
          <w:rFonts w:ascii="David" w:hAnsi="David" w:hint="cs"/>
          <w:noProof w:val="0"/>
          <w:rtl/>
        </w:rPr>
        <w:t>משיב בחלוף 45 יום מיום המצאת פסק הדין</w:t>
      </w:r>
      <w:r w:rsidR="00874484" w:rsidRPr="00B40998">
        <w:rPr>
          <w:rFonts w:ascii="David" w:hAnsi="David"/>
          <w:noProof w:val="0"/>
          <w:rtl/>
        </w:rPr>
        <w:t xml:space="preserve">, ובלשון </w:t>
      </w:r>
      <w:r w:rsidR="00B92EF6">
        <w:rPr>
          <w:rFonts w:ascii="David" w:hAnsi="David" w:hint="cs"/>
          <w:noProof w:val="0"/>
          <w:rtl/>
        </w:rPr>
        <w:t xml:space="preserve">דברי ההסבר - </w:t>
      </w:r>
    </w:p>
    <w:p w:rsidR="0012686B" w:rsidRPr="00B40998" w:rsidRDefault="00874484" w:rsidP="00B40998">
      <w:pPr>
        <w:spacing w:after="180" w:line="360" w:lineRule="auto"/>
        <w:ind w:left="1077" w:right="426"/>
        <w:jc w:val="both"/>
        <w:rPr>
          <w:rFonts w:ascii="David" w:hAnsi="David"/>
          <w:b/>
          <w:bCs/>
          <w:noProof w:val="0"/>
          <w:rtl/>
        </w:rPr>
      </w:pPr>
      <w:r w:rsidRPr="00B40998">
        <w:rPr>
          <w:rFonts w:ascii="David" w:hAnsi="David"/>
          <w:b/>
          <w:bCs/>
          <w:noProof w:val="0"/>
          <w:rtl/>
        </w:rPr>
        <w:t>"</w:t>
      </w:r>
      <w:r w:rsidR="0012686B" w:rsidRPr="00B40998">
        <w:rPr>
          <w:rFonts w:ascii="David" w:hAnsi="David"/>
          <w:b/>
          <w:bCs/>
          <w:noProof w:val="0"/>
          <w:rtl/>
        </w:rPr>
        <w:t>כך שכל צד שמבקש להגיש ערעור, רשאי יהיה לעשות כן בהתאם למועד הקבוע בדין (בתוך 45 יום מההחלטה) ולא ניתן יהיה להגיש ערעור בתקופה נוספת."</w:t>
      </w:r>
    </w:p>
    <w:p w:rsidR="00DF0A6A" w:rsidRDefault="00DF0A6A">
      <w:pPr>
        <w:bidi w:val="0"/>
        <w:rPr>
          <w:rFonts w:ascii="David" w:hAnsi="David"/>
          <w:noProof w:val="0"/>
        </w:rPr>
      </w:pPr>
      <w:r>
        <w:rPr>
          <w:rFonts w:ascii="David" w:hAnsi="David"/>
          <w:noProof w:val="0"/>
          <w:rtl/>
        </w:rPr>
        <w:br w:type="page"/>
      </w:r>
    </w:p>
    <w:p w:rsidR="007E3367" w:rsidRPr="00B40998" w:rsidRDefault="007E3367" w:rsidP="00B92EF6">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lastRenderedPageBreak/>
        <w:t xml:space="preserve">לאור האמור לעיל, במישור הכוונה הסובייקטיבית </w:t>
      </w:r>
      <w:r w:rsidR="00B92EF6">
        <w:rPr>
          <w:rFonts w:ascii="David" w:hAnsi="David" w:hint="cs"/>
          <w:noProof w:val="0"/>
          <w:rtl/>
        </w:rPr>
        <w:t xml:space="preserve">של תיקון 2022 </w:t>
      </w:r>
      <w:r w:rsidRPr="00B40998">
        <w:rPr>
          <w:rFonts w:ascii="David" w:hAnsi="David"/>
          <w:noProof w:val="0"/>
          <w:rtl/>
        </w:rPr>
        <w:t>אנ</w:t>
      </w:r>
      <w:r w:rsidR="00B92EF6">
        <w:rPr>
          <w:rFonts w:ascii="David" w:hAnsi="David" w:hint="cs"/>
          <w:noProof w:val="0"/>
          <w:rtl/>
        </w:rPr>
        <w:t>ו</w:t>
      </w:r>
      <w:r w:rsidRPr="00B40998">
        <w:rPr>
          <w:rFonts w:ascii="David" w:hAnsi="David"/>
          <w:noProof w:val="0"/>
          <w:rtl/>
        </w:rPr>
        <w:t xml:space="preserve"> נציבים בפני מקרה קל, בו הסוגיה הפרשנית </w:t>
      </w:r>
      <w:r w:rsidR="00B92EF6">
        <w:rPr>
          <w:rFonts w:ascii="David" w:hAnsi="David" w:hint="cs"/>
          <w:noProof w:val="0"/>
          <w:rtl/>
        </w:rPr>
        <w:t>הנדרשת להכרעה</w:t>
      </w:r>
      <w:r w:rsidR="001F6203">
        <w:rPr>
          <w:rFonts w:ascii="David" w:hAnsi="David" w:hint="cs"/>
          <w:noProof w:val="0"/>
          <w:rtl/>
        </w:rPr>
        <w:t xml:space="preserve"> בהליך זה</w:t>
      </w:r>
      <w:r w:rsidR="00B92EF6">
        <w:rPr>
          <w:rFonts w:ascii="David" w:hAnsi="David" w:hint="cs"/>
          <w:noProof w:val="0"/>
          <w:rtl/>
        </w:rPr>
        <w:t xml:space="preserve"> </w:t>
      </w:r>
      <w:r w:rsidRPr="00B40998">
        <w:rPr>
          <w:rFonts w:ascii="David" w:hAnsi="David"/>
          <w:noProof w:val="0"/>
          <w:rtl/>
        </w:rPr>
        <w:t>עמדה לפתחו של מחוקק המשנה, מחוקק המשנה נתן את דעתו עליה, ודברי ההסבר מבהירים בצורה נהירה את ההכרעה הפרשנית</w:t>
      </w:r>
      <w:r w:rsidR="00B92EF6">
        <w:rPr>
          <w:rFonts w:ascii="David" w:hAnsi="David" w:hint="cs"/>
          <w:noProof w:val="0"/>
          <w:rtl/>
        </w:rPr>
        <w:t xml:space="preserve"> בה נקט מחוקק המשנה</w:t>
      </w:r>
      <w:r w:rsidRPr="00B40998">
        <w:rPr>
          <w:rFonts w:ascii="David" w:hAnsi="David"/>
          <w:noProof w:val="0"/>
          <w:rtl/>
        </w:rPr>
        <w:t>.</w:t>
      </w:r>
    </w:p>
    <w:p w:rsidR="00255F73" w:rsidRPr="00B40998" w:rsidRDefault="00255F73"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ראוי לציין</w:t>
      </w:r>
      <w:r w:rsidR="00B92EF6">
        <w:rPr>
          <w:rFonts w:ascii="David" w:hAnsi="David" w:hint="cs"/>
          <w:noProof w:val="0"/>
          <w:rtl/>
        </w:rPr>
        <w:t>,</w:t>
      </w:r>
      <w:r w:rsidRPr="00B40998">
        <w:rPr>
          <w:rFonts w:ascii="David" w:hAnsi="David"/>
          <w:noProof w:val="0"/>
          <w:rtl/>
        </w:rPr>
        <w:t xml:space="preserve"> כי הגישה העכשווית לגבי מעמד דברי ההסבר הינה</w:t>
      </w:r>
      <w:r w:rsidR="00B92EF6">
        <w:rPr>
          <w:rFonts w:ascii="David" w:hAnsi="David" w:hint="cs"/>
          <w:noProof w:val="0"/>
          <w:rtl/>
        </w:rPr>
        <w:t>,</w:t>
      </w:r>
      <w:r w:rsidRPr="00B40998">
        <w:rPr>
          <w:rFonts w:ascii="David" w:hAnsi="David"/>
          <w:noProof w:val="0"/>
          <w:rtl/>
        </w:rPr>
        <w:t xml:space="preserve"> כי אלו מהווים כלי פרשני בלבד ואינם מחייבים את בית המשפט. אולם, וזה העיקר לענייננו, כאשר דברי ההסבר ברורים וחד משמעיים </w:t>
      </w:r>
      <w:r w:rsidRPr="00B92EF6">
        <w:rPr>
          <w:rFonts w:ascii="David" w:hAnsi="David"/>
          <w:b/>
          <w:bCs/>
          <w:noProof w:val="0"/>
          <w:rtl/>
        </w:rPr>
        <w:t>ותואמים</w:t>
      </w:r>
      <w:r w:rsidRPr="00B40998">
        <w:rPr>
          <w:rFonts w:ascii="David" w:hAnsi="David"/>
          <w:noProof w:val="0"/>
          <w:rtl/>
        </w:rPr>
        <w:t xml:space="preserve"> את לשון החוק שאושרה בעקבותיהם, יש בכך ראיה ניצחת לפרשנות הראויה.</w:t>
      </w:r>
    </w:p>
    <w:p w:rsidR="0012686B" w:rsidRPr="00B40998" w:rsidRDefault="00255F73" w:rsidP="00B40998">
      <w:pPr>
        <w:pStyle w:val="ad"/>
        <w:spacing w:after="180" w:line="360" w:lineRule="auto"/>
        <w:ind w:left="652"/>
        <w:contextualSpacing w:val="0"/>
        <w:jc w:val="both"/>
        <w:rPr>
          <w:rFonts w:ascii="David" w:hAnsi="David"/>
          <w:b/>
          <w:bCs/>
          <w:noProof w:val="0"/>
          <w:rtl/>
        </w:rPr>
      </w:pPr>
      <w:r w:rsidRPr="00B40998">
        <w:rPr>
          <w:rFonts w:ascii="David" w:hAnsi="David"/>
          <w:noProof w:val="0"/>
          <w:rtl/>
        </w:rPr>
        <w:t xml:space="preserve">לעניין זה ר', </w:t>
      </w:r>
      <w:r w:rsidR="00B92EF6">
        <w:rPr>
          <w:rFonts w:ascii="David" w:hAnsi="David" w:hint="cs"/>
          <w:noProof w:val="0"/>
          <w:rtl/>
        </w:rPr>
        <w:t xml:space="preserve">דברי </w:t>
      </w:r>
      <w:r w:rsidRPr="00B40998">
        <w:rPr>
          <w:rFonts w:ascii="David" w:hAnsi="David"/>
          <w:noProof w:val="0"/>
          <w:rtl/>
        </w:rPr>
        <w:t xml:space="preserve">כב' השופטת וילנר בעניין רע"א 9778/16 </w:t>
      </w:r>
      <w:r w:rsidRPr="00B40998">
        <w:rPr>
          <w:rFonts w:ascii="David" w:hAnsi="David"/>
          <w:b/>
          <w:bCs/>
          <w:noProof w:val="0"/>
          <w:rtl/>
        </w:rPr>
        <w:t xml:space="preserve">שולמית זליגמן נ' הפניקס החברה לביטוח בע"מ </w:t>
      </w:r>
      <w:r w:rsidRPr="00B40998">
        <w:rPr>
          <w:rFonts w:ascii="David" w:hAnsi="David"/>
          <w:noProof w:val="0"/>
          <w:rtl/>
        </w:rPr>
        <w:t>[פורסם במאגר נבו] (</w:t>
      </w:r>
      <w:r w:rsidR="00261B51" w:rsidRPr="00B40998">
        <w:rPr>
          <w:rFonts w:ascii="David" w:hAnsi="David"/>
          <w:noProof w:val="0"/>
          <w:rtl/>
        </w:rPr>
        <w:t>31.5.2018):</w:t>
      </w:r>
    </w:p>
    <w:p w:rsidR="00261B51" w:rsidRPr="00B40998" w:rsidRDefault="00261B51" w:rsidP="00A201C8">
      <w:pPr>
        <w:pStyle w:val="ad"/>
        <w:spacing w:after="180" w:line="360" w:lineRule="auto"/>
        <w:ind w:left="1134" w:right="567"/>
        <w:contextualSpacing w:val="0"/>
        <w:jc w:val="both"/>
        <w:rPr>
          <w:rFonts w:ascii="David" w:hAnsi="David"/>
          <w:b/>
          <w:bCs/>
          <w:noProof w:val="0"/>
          <w:rtl/>
        </w:rPr>
      </w:pPr>
      <w:r w:rsidRPr="00B40998">
        <w:rPr>
          <w:rFonts w:ascii="David" w:hAnsi="David"/>
          <w:b/>
          <w:bCs/>
          <w:noProof w:val="0"/>
          <w:rtl/>
        </w:rPr>
        <w:t xml:space="preserve">"בפסיקה נקבע כי גם דברי ההסבר המצורפים בדרך-כלל להצעות חוק אינם נהנים ממעמד בכורה, וכי "הם נתון שיש להביאו בחשבון בהתחקות אחרי תכלית החקיקה ... אך אלה מהווים אחד מכלי הפרשנות בלבד, ואין בהם, לבדם, להכריע" (ראו: ע"א 3115/93 יעקב נ' מנהל מס שבח מקרקעין חיפה, פ"ד נ(4) 549, 564 (1997); ע"א 9111/08 הקופה לתגמולים ופנסיה של עובדי הסוכנות היהודית לא"י נ' מנהל מס שבח מקרקעין אזור ירושלים, [פורסם בנבו] פסקה י"ז (19.5.2011) (להלן: עניין הקופה לתגמולים); פרשנות החקיקה, 387-386). </w:t>
      </w:r>
      <w:r w:rsidRPr="00B92EF6">
        <w:rPr>
          <w:rFonts w:ascii="David" w:hAnsi="David"/>
          <w:b/>
          <w:bCs/>
          <w:noProof w:val="0"/>
          <w:u w:val="single"/>
          <w:rtl/>
        </w:rPr>
        <w:t>ואולם, נקבע כי בנסיבות בהן מדברי ההסבר לחוק ניתן לחלץ אמירה חד-משמעית וברורה ביחס לאופן יישום החוק, אשר אף עולה בקנה אחד עם לשונו ועם תכליתו, תהיה בכך משום "ראיה ניצחת" לקבלת פרשנות זו</w:t>
      </w:r>
      <w:r w:rsidRPr="00B40998">
        <w:rPr>
          <w:rFonts w:ascii="David" w:hAnsi="David"/>
          <w:b/>
          <w:bCs/>
          <w:noProof w:val="0"/>
          <w:rtl/>
        </w:rPr>
        <w:t xml:space="preserve"> (ראו: עניין הקופה לתגמולים, פסקה י"ז)."</w:t>
      </w:r>
      <w:r w:rsidR="00B92EF6">
        <w:rPr>
          <w:rFonts w:ascii="David" w:hAnsi="David" w:hint="cs"/>
          <w:b/>
          <w:bCs/>
          <w:noProof w:val="0"/>
          <w:rtl/>
        </w:rPr>
        <w:t xml:space="preserve"> </w:t>
      </w:r>
      <w:r w:rsidR="00B92EF6" w:rsidRPr="00B92EF6">
        <w:rPr>
          <w:rFonts w:ascii="David" w:hAnsi="David" w:hint="cs"/>
          <w:noProof w:val="0"/>
          <w:rtl/>
        </w:rPr>
        <w:t>(הדגשה אינה במקור – ג.ה).</w:t>
      </w:r>
      <w:r w:rsidR="00B92EF6">
        <w:rPr>
          <w:rFonts w:ascii="David" w:hAnsi="David" w:hint="cs"/>
          <w:b/>
          <w:bCs/>
          <w:noProof w:val="0"/>
          <w:rtl/>
        </w:rPr>
        <w:t xml:space="preserve"> </w:t>
      </w:r>
    </w:p>
    <w:p w:rsidR="00411AF3" w:rsidRPr="00B40998" w:rsidRDefault="00261B51"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בדיון הנוסף באותו העניין, דנ"א 4960-18 </w:t>
      </w:r>
      <w:r w:rsidRPr="00B40998">
        <w:rPr>
          <w:rFonts w:ascii="David" w:hAnsi="David"/>
          <w:b/>
          <w:bCs/>
          <w:noProof w:val="0"/>
          <w:rtl/>
        </w:rPr>
        <w:t>שולמית זליגמן נ' הפניקס חברה לביטוח בע"מ</w:t>
      </w:r>
      <w:r w:rsidRPr="00B40998">
        <w:rPr>
          <w:rFonts w:ascii="David" w:hAnsi="David"/>
          <w:noProof w:val="0"/>
          <w:rtl/>
        </w:rPr>
        <w:t xml:space="preserve"> [פורסם במאגר נבו] (4.7.2021)</w:t>
      </w:r>
      <w:r w:rsidR="00B92EF6">
        <w:rPr>
          <w:rFonts w:ascii="David" w:hAnsi="David" w:hint="cs"/>
          <w:noProof w:val="0"/>
          <w:rtl/>
        </w:rPr>
        <w:t>,</w:t>
      </w:r>
      <w:r w:rsidRPr="00B40998">
        <w:rPr>
          <w:rFonts w:ascii="David" w:hAnsi="David"/>
          <w:noProof w:val="0"/>
          <w:rtl/>
        </w:rPr>
        <w:t xml:space="preserve"> למרות התוצאה השונה</w:t>
      </w:r>
      <w:r w:rsidR="00B92EF6">
        <w:rPr>
          <w:rFonts w:ascii="David" w:hAnsi="David" w:hint="cs"/>
          <w:noProof w:val="0"/>
          <w:rtl/>
        </w:rPr>
        <w:t xml:space="preserve"> לג</w:t>
      </w:r>
      <w:r w:rsidR="00D848BE">
        <w:rPr>
          <w:rFonts w:ascii="David" w:hAnsi="David" w:hint="cs"/>
          <w:noProof w:val="0"/>
          <w:rtl/>
        </w:rPr>
        <w:t>ופם של דברים</w:t>
      </w:r>
      <w:r w:rsidRPr="00B40998">
        <w:rPr>
          <w:rFonts w:ascii="David" w:hAnsi="David"/>
          <w:noProof w:val="0"/>
          <w:rtl/>
        </w:rPr>
        <w:t>, נקבע</w:t>
      </w:r>
      <w:r w:rsidR="00D848BE">
        <w:rPr>
          <w:rFonts w:ascii="David" w:hAnsi="David" w:hint="cs"/>
          <w:noProof w:val="0"/>
          <w:rtl/>
        </w:rPr>
        <w:t>ה הלכה דומה לגבי מעמד דברי ההסבר לחקיקה</w:t>
      </w:r>
      <w:r w:rsidRPr="00B40998">
        <w:rPr>
          <w:rFonts w:ascii="David" w:hAnsi="David"/>
          <w:noProof w:val="0"/>
          <w:rtl/>
        </w:rPr>
        <w:t>:</w:t>
      </w:r>
    </w:p>
    <w:p w:rsidR="00DF0A6A" w:rsidRDefault="00261B51" w:rsidP="00A201C8">
      <w:pPr>
        <w:pStyle w:val="ad"/>
        <w:spacing w:after="180" w:line="360" w:lineRule="auto"/>
        <w:ind w:left="1134" w:right="567"/>
        <w:contextualSpacing w:val="0"/>
        <w:jc w:val="both"/>
        <w:rPr>
          <w:rFonts w:ascii="David" w:hAnsi="David"/>
          <w:b/>
          <w:bCs/>
          <w:noProof w:val="0"/>
          <w:rtl/>
        </w:rPr>
      </w:pPr>
      <w:r w:rsidRPr="00B40998">
        <w:rPr>
          <w:rFonts w:ascii="David" w:hAnsi="David"/>
          <w:b/>
          <w:bCs/>
          <w:noProof w:val="0"/>
          <w:rtl/>
        </w:rPr>
        <w:t>"בהמשך לאמור לעיל, וכפי שנקבע בפסק הדין, דברי הסבר להצעת החוק שהולידה את החוק – לא נהנים ממעמד של בכורה, אלא שהם נתון, מני רבים, שיש להביאו בחשבון בבחינת תכלית החקיקה, ואין בהם כדי להכריע (ראו: פיסקה 31 לפסק הדין, שם מאוזכר ע"א 3115/93 יעקב נ' מנהל מס שבח מקרקעין חיפה, פ"ד נ(4) 549, 564 (1997), ואסמכתאות נוספות).</w:t>
      </w:r>
    </w:p>
    <w:p w:rsidR="00261B51" w:rsidRPr="00B40998" w:rsidRDefault="00261B51" w:rsidP="00A201C8">
      <w:pPr>
        <w:pStyle w:val="ad"/>
        <w:spacing w:after="180" w:line="360" w:lineRule="auto"/>
        <w:ind w:left="1134" w:right="567"/>
        <w:contextualSpacing w:val="0"/>
        <w:jc w:val="both"/>
        <w:rPr>
          <w:rFonts w:ascii="David" w:hAnsi="David"/>
          <w:b/>
          <w:bCs/>
          <w:noProof w:val="0"/>
          <w:rtl/>
        </w:rPr>
      </w:pPr>
      <w:r w:rsidRPr="00B40998">
        <w:rPr>
          <w:rFonts w:ascii="David" w:hAnsi="David"/>
          <w:b/>
          <w:bCs/>
          <w:noProof w:val="0"/>
          <w:rtl/>
        </w:rPr>
        <w:lastRenderedPageBreak/>
        <w:t>ראו בהקשר זה גם את הדברים שנאמרו על-ידי השופט (כתוארו אז) א' ברק בעניין עוף העמק:</w:t>
      </w:r>
    </w:p>
    <w:p w:rsidR="00261B51" w:rsidRPr="00B40998" w:rsidRDefault="00261B51" w:rsidP="00B40998">
      <w:pPr>
        <w:spacing w:after="180" w:line="360" w:lineRule="auto"/>
        <w:ind w:left="1077" w:right="426"/>
        <w:jc w:val="both"/>
        <w:rPr>
          <w:rFonts w:ascii="David" w:hAnsi="David"/>
          <w:b/>
          <w:bCs/>
          <w:noProof w:val="0"/>
          <w:rtl/>
        </w:rPr>
      </w:pPr>
      <w:r w:rsidRPr="00B40998">
        <w:rPr>
          <w:rFonts w:ascii="David" w:hAnsi="David"/>
          <w:b/>
          <w:bCs/>
          <w:noProof w:val="0"/>
          <w:rtl/>
        </w:rPr>
        <w:t>.</w:t>
      </w:r>
    </w:p>
    <w:p w:rsidR="00261B51" w:rsidRPr="00B40998" w:rsidRDefault="00261B51" w:rsidP="00A201C8">
      <w:pPr>
        <w:pStyle w:val="ad"/>
        <w:spacing w:after="180" w:line="360" w:lineRule="auto"/>
        <w:ind w:left="1134" w:right="567"/>
        <w:contextualSpacing w:val="0"/>
        <w:jc w:val="both"/>
        <w:rPr>
          <w:rFonts w:ascii="David" w:hAnsi="David"/>
          <w:b/>
          <w:bCs/>
          <w:noProof w:val="0"/>
          <w:rtl/>
        </w:rPr>
      </w:pPr>
      <w:r w:rsidRPr="00B40998">
        <w:rPr>
          <w:rFonts w:ascii="David" w:hAnsi="David"/>
          <w:b/>
          <w:bCs/>
          <w:noProof w:val="0"/>
          <w:rtl/>
        </w:rPr>
        <w:t xml:space="preserve">עם זאת, כפי שצוין בפסק הדין, </w:t>
      </w:r>
      <w:r w:rsidRPr="00B40998">
        <w:rPr>
          <w:rFonts w:ascii="David" w:hAnsi="David"/>
          <w:b/>
          <w:bCs/>
          <w:noProof w:val="0"/>
          <w:u w:val="single"/>
          <w:rtl/>
        </w:rPr>
        <w:t>במקרה בו דברי ההסבר מציינים אמירה חד משמעית וברורה באשר לאופן יישום החוק המדובר, אשר תואמת את לשון החוק ותכליתו, יש בכך משום "ראיה ניצחת" לקבלת פרשנות זו</w:t>
      </w:r>
      <w:r w:rsidRPr="00B40998">
        <w:rPr>
          <w:rFonts w:ascii="David" w:hAnsi="David"/>
          <w:b/>
          <w:bCs/>
          <w:noProof w:val="0"/>
          <w:rtl/>
        </w:rPr>
        <w:t xml:space="preserve"> (ע"א 9111/08 הקופה לתגמולים ופנסיה של עובדי הסוכנות היהודית לא"י נ' מנהל מס שבח מקרקעין אזור ירושלים, [פורסם בנבו] בפיסקה י"ז (19.05.2011))."</w:t>
      </w:r>
      <w:r w:rsidR="003E48C3" w:rsidRPr="00B40998">
        <w:rPr>
          <w:rFonts w:ascii="David" w:hAnsi="David"/>
          <w:noProof w:val="0"/>
          <w:rtl/>
        </w:rPr>
        <w:t xml:space="preserve"> (הדגשה אינה במקור – ג.ה).</w:t>
      </w:r>
      <w:r w:rsidR="003E48C3" w:rsidRPr="00B40998">
        <w:rPr>
          <w:rFonts w:ascii="David" w:hAnsi="David"/>
          <w:b/>
          <w:bCs/>
          <w:noProof w:val="0"/>
          <w:rtl/>
        </w:rPr>
        <w:t xml:space="preserve"> </w:t>
      </w:r>
    </w:p>
    <w:p w:rsidR="00640597" w:rsidRPr="00B40998" w:rsidRDefault="00640597" w:rsidP="001F6203">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עם זאת ראוי לציין</w:t>
      </w:r>
      <w:r w:rsidR="00895863">
        <w:rPr>
          <w:rFonts w:ascii="David" w:hAnsi="David" w:hint="cs"/>
          <w:noProof w:val="0"/>
          <w:rtl/>
        </w:rPr>
        <w:t xml:space="preserve"> בהקשר זה,</w:t>
      </w:r>
      <w:r w:rsidRPr="00B40998">
        <w:rPr>
          <w:rFonts w:ascii="David" w:hAnsi="David"/>
          <w:noProof w:val="0"/>
          <w:rtl/>
        </w:rPr>
        <w:t xml:space="preserve"> כי קיימת</w:t>
      </w:r>
      <w:r w:rsidR="001F6203">
        <w:rPr>
          <w:rFonts w:ascii="David" w:hAnsi="David" w:hint="cs"/>
          <w:noProof w:val="0"/>
          <w:rtl/>
        </w:rPr>
        <w:t xml:space="preserve"> </w:t>
      </w:r>
      <w:r w:rsidRPr="00B40998">
        <w:rPr>
          <w:rFonts w:ascii="David" w:hAnsi="David"/>
          <w:noProof w:val="0"/>
          <w:rtl/>
        </w:rPr>
        <w:t xml:space="preserve">גישה </w:t>
      </w:r>
      <w:r w:rsidR="001F6203">
        <w:rPr>
          <w:rFonts w:ascii="David" w:hAnsi="David" w:hint="cs"/>
          <w:noProof w:val="0"/>
          <w:rtl/>
        </w:rPr>
        <w:t xml:space="preserve">שונה </w:t>
      </w:r>
      <w:r w:rsidR="00895863">
        <w:rPr>
          <w:rFonts w:ascii="David" w:hAnsi="David" w:hint="cs"/>
          <w:noProof w:val="0"/>
          <w:rtl/>
        </w:rPr>
        <w:t>בפסיקה</w:t>
      </w:r>
      <w:r w:rsidR="001F6203">
        <w:rPr>
          <w:rFonts w:ascii="David" w:hAnsi="David" w:hint="cs"/>
          <w:noProof w:val="0"/>
          <w:rtl/>
        </w:rPr>
        <w:t>, גישה</w:t>
      </w:r>
      <w:r w:rsidR="00895863">
        <w:rPr>
          <w:rFonts w:ascii="David" w:hAnsi="David" w:hint="cs"/>
          <w:noProof w:val="0"/>
          <w:rtl/>
        </w:rPr>
        <w:t xml:space="preserve"> מסו</w:t>
      </w:r>
      <w:r w:rsidR="001F6203">
        <w:rPr>
          <w:rFonts w:ascii="David" w:hAnsi="David" w:hint="cs"/>
          <w:noProof w:val="0"/>
          <w:rtl/>
        </w:rPr>
        <w:t>י</w:t>
      </w:r>
      <w:r w:rsidR="00895863">
        <w:rPr>
          <w:rFonts w:ascii="David" w:hAnsi="David" w:hint="cs"/>
          <w:noProof w:val="0"/>
          <w:rtl/>
        </w:rPr>
        <w:t>גת יותר</w:t>
      </w:r>
      <w:r w:rsidRPr="00B40998">
        <w:rPr>
          <w:rFonts w:ascii="David" w:hAnsi="David"/>
          <w:noProof w:val="0"/>
          <w:rtl/>
        </w:rPr>
        <w:t xml:space="preserve"> וב</w:t>
      </w:r>
      <w:r w:rsidR="00207740">
        <w:rPr>
          <w:rFonts w:ascii="David" w:hAnsi="David" w:hint="cs"/>
          <w:noProof w:val="0"/>
          <w:rtl/>
        </w:rPr>
        <w:t>י</w:t>
      </w:r>
      <w:r w:rsidRPr="00B40998">
        <w:rPr>
          <w:rFonts w:ascii="David" w:hAnsi="David"/>
          <w:noProof w:val="0"/>
          <w:rtl/>
        </w:rPr>
        <w:t>ק</w:t>
      </w:r>
      <w:r w:rsidR="00207740">
        <w:rPr>
          <w:rFonts w:ascii="David" w:hAnsi="David" w:hint="cs"/>
          <w:noProof w:val="0"/>
          <w:rtl/>
        </w:rPr>
        <w:t>ו</w:t>
      </w:r>
      <w:r w:rsidRPr="00B40998">
        <w:rPr>
          <w:rFonts w:ascii="David" w:hAnsi="David"/>
          <w:noProof w:val="0"/>
          <w:rtl/>
        </w:rPr>
        <w:t xml:space="preserve">רתית יותר </w:t>
      </w:r>
      <w:r w:rsidR="00895863">
        <w:rPr>
          <w:rFonts w:ascii="David" w:hAnsi="David" w:hint="cs"/>
          <w:noProof w:val="0"/>
          <w:rtl/>
        </w:rPr>
        <w:t>ביחס לשימוש ב</w:t>
      </w:r>
      <w:r w:rsidRPr="00B40998">
        <w:rPr>
          <w:rFonts w:ascii="David" w:hAnsi="David"/>
          <w:noProof w:val="0"/>
          <w:rtl/>
        </w:rPr>
        <w:t>דברי ההסבר</w:t>
      </w:r>
      <w:r w:rsidR="001F6203">
        <w:rPr>
          <w:rFonts w:ascii="David" w:hAnsi="David" w:hint="cs"/>
          <w:noProof w:val="0"/>
          <w:rtl/>
        </w:rPr>
        <w:t xml:space="preserve"> לצורך פרשנות החקיקה</w:t>
      </w:r>
      <w:r w:rsidRPr="00B40998">
        <w:rPr>
          <w:rFonts w:ascii="David" w:hAnsi="David"/>
          <w:noProof w:val="0"/>
          <w:rtl/>
        </w:rPr>
        <w:t xml:space="preserve">, </w:t>
      </w:r>
      <w:r w:rsidR="00FF542C" w:rsidRPr="00B40998">
        <w:rPr>
          <w:rFonts w:ascii="David" w:hAnsi="David"/>
          <w:noProof w:val="0"/>
          <w:rtl/>
        </w:rPr>
        <w:t>ר'</w:t>
      </w:r>
      <w:r w:rsidR="00895863">
        <w:rPr>
          <w:rFonts w:ascii="David" w:hAnsi="David" w:hint="cs"/>
          <w:noProof w:val="0"/>
          <w:rtl/>
        </w:rPr>
        <w:t>, למשל,</w:t>
      </w:r>
      <w:r w:rsidR="00FF542C" w:rsidRPr="00B40998">
        <w:rPr>
          <w:rFonts w:ascii="David" w:hAnsi="David"/>
          <w:noProof w:val="0"/>
          <w:rtl/>
        </w:rPr>
        <w:t xml:space="preserve"> רע"א 10011-17 </w:t>
      </w:r>
      <w:r w:rsidR="00FF542C" w:rsidRPr="00B40998">
        <w:rPr>
          <w:rFonts w:ascii="David" w:hAnsi="David"/>
          <w:b/>
          <w:bCs/>
          <w:noProof w:val="0"/>
          <w:rtl/>
        </w:rPr>
        <w:t>מי-טל הנדסה ושירותים בע"מ נ' חאלד סלמאן</w:t>
      </w:r>
      <w:r w:rsidR="00FF542C" w:rsidRPr="00B40998">
        <w:rPr>
          <w:rFonts w:ascii="David" w:hAnsi="David"/>
          <w:noProof w:val="0"/>
          <w:rtl/>
        </w:rPr>
        <w:t xml:space="preserve"> [פורסם במאגר נבו] (19.8.2019), וכן </w:t>
      </w:r>
      <w:r w:rsidRPr="00B40998">
        <w:rPr>
          <w:rFonts w:ascii="David" w:hAnsi="David"/>
          <w:noProof w:val="0"/>
          <w:rtl/>
        </w:rPr>
        <w:t xml:space="preserve">ר' </w:t>
      </w:r>
      <w:r w:rsidR="00895863">
        <w:rPr>
          <w:rFonts w:ascii="David" w:hAnsi="David" w:hint="cs"/>
          <w:noProof w:val="0"/>
          <w:rtl/>
        </w:rPr>
        <w:t>ב</w:t>
      </w:r>
      <w:r w:rsidRPr="00B40998">
        <w:rPr>
          <w:rFonts w:ascii="David" w:hAnsi="David"/>
          <w:noProof w:val="0"/>
          <w:rtl/>
        </w:rPr>
        <w:t xml:space="preserve">מאמר </w:t>
      </w:r>
      <w:r w:rsidR="00895863" w:rsidRPr="00895863">
        <w:rPr>
          <w:rFonts w:ascii="David" w:hAnsi="David" w:hint="cs"/>
          <w:noProof w:val="0"/>
          <w:rtl/>
        </w:rPr>
        <w:t>של</w:t>
      </w:r>
      <w:r w:rsidR="00895863">
        <w:rPr>
          <w:rFonts w:ascii="David" w:hAnsi="David" w:hint="cs"/>
          <w:b/>
          <w:bCs/>
          <w:noProof w:val="0"/>
          <w:rtl/>
        </w:rPr>
        <w:t xml:space="preserve"> </w:t>
      </w:r>
      <w:r w:rsidRPr="00B40998">
        <w:rPr>
          <w:rFonts w:ascii="David" w:hAnsi="David"/>
          <w:b/>
          <w:bCs/>
          <w:noProof w:val="0"/>
          <w:rtl/>
        </w:rPr>
        <w:t>יוסף וקברטץ-אברהם</w:t>
      </w:r>
      <w:r w:rsidRPr="00B40998">
        <w:rPr>
          <w:rFonts w:ascii="David" w:hAnsi="David"/>
          <w:noProof w:val="0"/>
          <w:rtl/>
        </w:rPr>
        <w:t xml:space="preserve"> לעיל, </w:t>
      </w:r>
      <w:r w:rsidR="00FF542C" w:rsidRPr="00B40998">
        <w:rPr>
          <w:rFonts w:ascii="David" w:hAnsi="David"/>
          <w:noProof w:val="0"/>
          <w:rtl/>
        </w:rPr>
        <w:t>עמ' 28 עד</w:t>
      </w:r>
      <w:r w:rsidR="001F6203">
        <w:rPr>
          <w:rFonts w:ascii="David" w:hAnsi="David"/>
          <w:noProof w:val="0"/>
          <w:rtl/>
        </w:rPr>
        <w:t xml:space="preserve"> 31</w:t>
      </w:r>
      <w:r w:rsidR="001F6203">
        <w:rPr>
          <w:rFonts w:ascii="David" w:hAnsi="David" w:hint="cs"/>
          <w:noProof w:val="0"/>
          <w:rtl/>
        </w:rPr>
        <w:t>.</w:t>
      </w:r>
      <w:r w:rsidR="00FF542C" w:rsidRPr="00B40998">
        <w:rPr>
          <w:rFonts w:ascii="David" w:hAnsi="David"/>
          <w:noProof w:val="0"/>
          <w:rtl/>
        </w:rPr>
        <w:t xml:space="preserve"> אולם</w:t>
      </w:r>
      <w:r w:rsidR="001F6203">
        <w:rPr>
          <w:rFonts w:ascii="David" w:hAnsi="David" w:hint="cs"/>
          <w:noProof w:val="0"/>
          <w:rtl/>
        </w:rPr>
        <w:t>,</w:t>
      </w:r>
      <w:r w:rsidR="00FF542C" w:rsidRPr="00B40998">
        <w:rPr>
          <w:rFonts w:ascii="David" w:hAnsi="David"/>
          <w:noProof w:val="0"/>
          <w:rtl/>
        </w:rPr>
        <w:t xml:space="preserve"> הסתייגות זו נוגעת יותר לנושאים ח</w:t>
      </w:r>
      <w:r w:rsidR="001F6203">
        <w:rPr>
          <w:rFonts w:ascii="David" w:hAnsi="David" w:hint="cs"/>
          <w:noProof w:val="0"/>
          <w:rtl/>
        </w:rPr>
        <w:t>ו</w:t>
      </w:r>
      <w:r w:rsidR="00FF542C" w:rsidRPr="00B40998">
        <w:rPr>
          <w:rFonts w:ascii="David" w:hAnsi="David"/>
          <w:noProof w:val="0"/>
          <w:rtl/>
        </w:rPr>
        <w:t>קתיים</w:t>
      </w:r>
      <w:r w:rsidR="001F6203">
        <w:rPr>
          <w:rFonts w:ascii="David" w:hAnsi="David" w:hint="cs"/>
          <w:noProof w:val="0"/>
          <w:rtl/>
        </w:rPr>
        <w:t>,</w:t>
      </w:r>
      <w:r w:rsidR="00FF542C" w:rsidRPr="00B40998">
        <w:rPr>
          <w:rFonts w:ascii="David" w:hAnsi="David"/>
          <w:noProof w:val="0"/>
          <w:rtl/>
        </w:rPr>
        <w:t xml:space="preserve"> ו</w:t>
      </w:r>
      <w:r w:rsidR="00895863">
        <w:rPr>
          <w:rFonts w:ascii="David" w:hAnsi="David" w:hint="cs"/>
          <w:noProof w:val="0"/>
          <w:rtl/>
        </w:rPr>
        <w:t>בפרט</w:t>
      </w:r>
      <w:r w:rsidR="001F6203">
        <w:rPr>
          <w:rFonts w:ascii="David" w:hAnsi="David" w:hint="cs"/>
          <w:noProof w:val="0"/>
          <w:rtl/>
        </w:rPr>
        <w:t xml:space="preserve"> למקרים בהם</w:t>
      </w:r>
      <w:r w:rsidR="00FF542C" w:rsidRPr="00B40998">
        <w:rPr>
          <w:rFonts w:ascii="David" w:hAnsi="David"/>
          <w:noProof w:val="0"/>
          <w:rtl/>
        </w:rPr>
        <w:t xml:space="preserve"> קיים פער בין לשון החוק </w:t>
      </w:r>
      <w:r w:rsidR="001F6203">
        <w:rPr>
          <w:rFonts w:ascii="David" w:hAnsi="David" w:hint="cs"/>
          <w:noProof w:val="0"/>
          <w:rtl/>
        </w:rPr>
        <w:t xml:space="preserve">שאושר </w:t>
      </w:r>
      <w:r w:rsidR="00FF542C" w:rsidRPr="00B40998">
        <w:rPr>
          <w:rFonts w:ascii="David" w:hAnsi="David"/>
          <w:noProof w:val="0"/>
          <w:rtl/>
        </w:rPr>
        <w:t>להצעת החוק</w:t>
      </w:r>
      <w:r w:rsidR="001F6203">
        <w:rPr>
          <w:rFonts w:ascii="David" w:hAnsi="David" w:hint="cs"/>
          <w:noProof w:val="0"/>
          <w:rtl/>
        </w:rPr>
        <w:t xml:space="preserve"> ודברי ההסבר</w:t>
      </w:r>
      <w:r w:rsidR="00FF542C" w:rsidRPr="00B40998">
        <w:rPr>
          <w:rFonts w:ascii="David" w:hAnsi="David"/>
          <w:noProof w:val="0"/>
          <w:rtl/>
        </w:rPr>
        <w:t>.</w:t>
      </w:r>
      <w:r w:rsidR="00895863">
        <w:rPr>
          <w:rFonts w:ascii="David" w:hAnsi="David" w:hint="cs"/>
          <w:noProof w:val="0"/>
          <w:rtl/>
        </w:rPr>
        <w:t xml:space="preserve"> כאמור</w:t>
      </w:r>
      <w:r w:rsidR="00C609B6">
        <w:rPr>
          <w:rFonts w:ascii="David" w:hAnsi="David" w:hint="cs"/>
          <w:noProof w:val="0"/>
          <w:rtl/>
        </w:rPr>
        <w:t>,</w:t>
      </w:r>
      <w:r w:rsidR="00895863">
        <w:rPr>
          <w:rFonts w:ascii="David" w:hAnsi="David" w:hint="cs"/>
          <w:noProof w:val="0"/>
          <w:rtl/>
        </w:rPr>
        <w:t xml:space="preserve"> בענייננו קיים מתאם בין לשון </w:t>
      </w:r>
      <w:r w:rsidR="001F6203">
        <w:rPr>
          <w:rFonts w:ascii="David" w:hAnsi="David" w:hint="cs"/>
          <w:noProof w:val="0"/>
          <w:rtl/>
        </w:rPr>
        <w:t xml:space="preserve">הצעת התקנות, </w:t>
      </w:r>
      <w:r w:rsidR="00C609B6">
        <w:rPr>
          <w:rFonts w:ascii="David" w:hAnsi="David" w:hint="cs"/>
          <w:noProof w:val="0"/>
          <w:rtl/>
        </w:rPr>
        <w:t xml:space="preserve">לשון </w:t>
      </w:r>
      <w:r w:rsidR="001F6203">
        <w:rPr>
          <w:rFonts w:ascii="David" w:hAnsi="David" w:hint="cs"/>
          <w:noProof w:val="0"/>
          <w:rtl/>
        </w:rPr>
        <w:t>התקנות שאושרו ו</w:t>
      </w:r>
      <w:r w:rsidR="00895863">
        <w:rPr>
          <w:rFonts w:ascii="David" w:hAnsi="David" w:hint="cs"/>
          <w:noProof w:val="0"/>
          <w:rtl/>
        </w:rPr>
        <w:t>דברי ההסבר.</w:t>
      </w:r>
    </w:p>
    <w:p w:rsidR="00640597" w:rsidRPr="00B40998" w:rsidRDefault="00475AC1" w:rsidP="00895863">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למדנו</w:t>
      </w:r>
      <w:r w:rsidR="00895863">
        <w:rPr>
          <w:rFonts w:ascii="David" w:hAnsi="David" w:hint="cs"/>
          <w:noProof w:val="0"/>
          <w:rtl/>
        </w:rPr>
        <w:t xml:space="preserve"> עד כה</w:t>
      </w:r>
      <w:r w:rsidRPr="00B40998">
        <w:rPr>
          <w:rFonts w:ascii="David" w:hAnsi="David"/>
          <w:noProof w:val="0"/>
          <w:rtl/>
        </w:rPr>
        <w:t xml:space="preserve"> כי הן לשון החוק והן התכלית הסובייקטיבית העולה מדברי ההסבר מובילים למסקנה פרשנית</w:t>
      </w:r>
      <w:r w:rsidR="00895863">
        <w:rPr>
          <w:rFonts w:ascii="David" w:hAnsi="David" w:hint="cs"/>
          <w:noProof w:val="0"/>
          <w:rtl/>
        </w:rPr>
        <w:t>,</w:t>
      </w:r>
      <w:r w:rsidRPr="00B40998">
        <w:rPr>
          <w:rFonts w:ascii="David" w:hAnsi="David"/>
          <w:noProof w:val="0"/>
          <w:rtl/>
        </w:rPr>
        <w:t xml:space="preserve"> כי לא ניתן להגיש ערעור משיב לאחר חלוף 45 יום מיום המצאת פסק הדין</w:t>
      </w:r>
      <w:r w:rsidR="00895863">
        <w:rPr>
          <w:rFonts w:ascii="David" w:hAnsi="David" w:hint="cs"/>
          <w:noProof w:val="0"/>
          <w:rtl/>
        </w:rPr>
        <w:t xml:space="preserve"> בענייני משפחה</w:t>
      </w:r>
      <w:r w:rsidRPr="00B40998">
        <w:rPr>
          <w:rFonts w:ascii="David" w:hAnsi="David"/>
          <w:noProof w:val="0"/>
          <w:rtl/>
        </w:rPr>
        <w:t>.</w:t>
      </w:r>
    </w:p>
    <w:p w:rsidR="00475AC1" w:rsidRPr="00B40998" w:rsidRDefault="00475AC1"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עם זאת, לאור העובדה כי ניתן לקבל בדוחק פרשנות לשונית אחרת</w:t>
      </w:r>
      <w:r w:rsidR="00895863">
        <w:rPr>
          <w:rFonts w:ascii="David" w:hAnsi="David" w:hint="cs"/>
          <w:noProof w:val="0"/>
          <w:rtl/>
        </w:rPr>
        <w:t>,</w:t>
      </w:r>
      <w:r w:rsidRPr="00B40998">
        <w:rPr>
          <w:rFonts w:ascii="David" w:hAnsi="David"/>
          <w:noProof w:val="0"/>
          <w:rtl/>
        </w:rPr>
        <w:t xml:space="preserve"> ולאור הגישות הממעיטות בערך דברי ההסבר</w:t>
      </w:r>
      <w:r w:rsidR="00895863">
        <w:rPr>
          <w:rFonts w:ascii="David" w:hAnsi="David" w:hint="cs"/>
          <w:noProof w:val="0"/>
          <w:rtl/>
        </w:rPr>
        <w:t xml:space="preserve"> לצורך פרשנות</w:t>
      </w:r>
      <w:r w:rsidRPr="00B40998">
        <w:rPr>
          <w:rFonts w:ascii="David" w:hAnsi="David"/>
          <w:noProof w:val="0"/>
          <w:rtl/>
        </w:rPr>
        <w:t xml:space="preserve">, ובפרט לאור </w:t>
      </w:r>
      <w:r w:rsidR="00895863">
        <w:rPr>
          <w:rFonts w:ascii="David" w:hAnsi="David" w:hint="cs"/>
          <w:noProof w:val="0"/>
          <w:rtl/>
        </w:rPr>
        <w:t>ה</w:t>
      </w:r>
      <w:r w:rsidRPr="00B40998">
        <w:rPr>
          <w:rFonts w:ascii="David" w:hAnsi="David"/>
          <w:noProof w:val="0"/>
          <w:rtl/>
        </w:rPr>
        <w:t>חשיבות</w:t>
      </w:r>
      <w:r w:rsidR="00895863">
        <w:rPr>
          <w:rFonts w:ascii="David" w:hAnsi="David" w:hint="cs"/>
          <w:noProof w:val="0"/>
          <w:rtl/>
        </w:rPr>
        <w:t xml:space="preserve"> הרוחבית של</w:t>
      </w:r>
      <w:r w:rsidRPr="00B40998">
        <w:rPr>
          <w:rFonts w:ascii="David" w:hAnsi="David"/>
          <w:noProof w:val="0"/>
          <w:rtl/>
        </w:rPr>
        <w:t xml:space="preserve"> ההכרעה הפרשנית שלפניי, אבחן גם את התכלית האובייקטיבית ו</w:t>
      </w:r>
      <w:r w:rsidR="00895863">
        <w:rPr>
          <w:rFonts w:ascii="David" w:hAnsi="David" w:hint="cs"/>
          <w:noProof w:val="0"/>
          <w:rtl/>
        </w:rPr>
        <w:t xml:space="preserve">את </w:t>
      </w:r>
      <w:r w:rsidRPr="00B40998">
        <w:rPr>
          <w:rFonts w:ascii="David" w:hAnsi="David"/>
          <w:noProof w:val="0"/>
          <w:rtl/>
        </w:rPr>
        <w:t>שיקולי המדיניות. אציין, כי הצדדים אף התייחסו לשיקולים אלו בהרחבה במסגרת הטיעונים מטעמם.</w:t>
      </w:r>
    </w:p>
    <w:p w:rsidR="00DF0A6A" w:rsidRDefault="00951C84" w:rsidP="00895863">
      <w:pPr>
        <w:pStyle w:val="ad"/>
        <w:numPr>
          <w:ilvl w:val="0"/>
          <w:numId w:val="1"/>
        </w:numPr>
        <w:spacing w:after="180" w:line="360" w:lineRule="auto"/>
        <w:ind w:left="652" w:hanging="709"/>
        <w:contextualSpacing w:val="0"/>
        <w:jc w:val="both"/>
        <w:rPr>
          <w:rFonts w:ascii="David" w:hAnsi="David"/>
          <w:noProof w:val="0"/>
          <w:rtl/>
        </w:rPr>
      </w:pPr>
      <w:r w:rsidRPr="00B40998">
        <w:rPr>
          <w:rFonts w:ascii="David" w:hAnsi="David"/>
          <w:noProof w:val="0"/>
          <w:rtl/>
        </w:rPr>
        <w:t xml:space="preserve">עם זאת, אציין כבר כעת, כי על מנת ששיקולי המדיניות יובילו להכרעה </w:t>
      </w:r>
      <w:r w:rsidRPr="00895863">
        <w:rPr>
          <w:rFonts w:ascii="David" w:hAnsi="David"/>
          <w:b/>
          <w:bCs/>
          <w:noProof w:val="0"/>
          <w:rtl/>
        </w:rPr>
        <w:t>השונה</w:t>
      </w:r>
      <w:r w:rsidRPr="00B40998">
        <w:rPr>
          <w:rFonts w:ascii="David" w:hAnsi="David"/>
          <w:noProof w:val="0"/>
          <w:rtl/>
        </w:rPr>
        <w:t xml:space="preserve"> מדברי ההסבר ומלשונה הפשוטה של התקנות, יש צורך שכף </w:t>
      </w:r>
      <w:r w:rsidR="00895863">
        <w:rPr>
          <w:rFonts w:ascii="David" w:hAnsi="David" w:hint="cs"/>
          <w:noProof w:val="0"/>
          <w:rtl/>
        </w:rPr>
        <w:t xml:space="preserve">שיקולי המדיניות </w:t>
      </w:r>
      <w:r w:rsidRPr="00B40998">
        <w:rPr>
          <w:rFonts w:ascii="David" w:hAnsi="David"/>
          <w:noProof w:val="0"/>
          <w:rtl/>
        </w:rPr>
        <w:t xml:space="preserve">תטה בצורה מובהקת לטובת פרשנות המשיבה, ואין די בכך שיש עדיפות קלה לשיקולי </w:t>
      </w:r>
      <w:r w:rsidR="00C609B6">
        <w:rPr>
          <w:rFonts w:ascii="David" w:hAnsi="David" w:hint="cs"/>
          <w:noProof w:val="0"/>
          <w:rtl/>
        </w:rPr>
        <w:t xml:space="preserve">המדיניות שמציגה </w:t>
      </w:r>
      <w:r w:rsidRPr="00B40998">
        <w:rPr>
          <w:rFonts w:ascii="David" w:hAnsi="David"/>
          <w:noProof w:val="0"/>
          <w:rtl/>
        </w:rPr>
        <w:t xml:space="preserve">המשיבה. </w:t>
      </w:r>
    </w:p>
    <w:p w:rsidR="00DF0A6A" w:rsidRDefault="00DF0A6A">
      <w:pPr>
        <w:bidi w:val="0"/>
        <w:rPr>
          <w:rFonts w:ascii="David" w:hAnsi="David"/>
          <w:noProof w:val="0"/>
          <w:rtl/>
        </w:rPr>
      </w:pPr>
      <w:r>
        <w:rPr>
          <w:rFonts w:ascii="David" w:hAnsi="David"/>
          <w:noProof w:val="0"/>
          <w:rtl/>
        </w:rPr>
        <w:br w:type="page"/>
      </w:r>
    </w:p>
    <w:p w:rsidR="00475AC1" w:rsidRPr="00B40998" w:rsidRDefault="00475AC1" w:rsidP="00895863">
      <w:pPr>
        <w:spacing w:after="180" w:line="360" w:lineRule="auto"/>
        <w:jc w:val="both"/>
        <w:rPr>
          <w:rFonts w:ascii="David" w:hAnsi="David"/>
          <w:b/>
          <w:bCs/>
          <w:noProof w:val="0"/>
          <w:u w:val="single"/>
          <w:rtl/>
        </w:rPr>
      </w:pPr>
      <w:r w:rsidRPr="00B40998">
        <w:rPr>
          <w:rFonts w:ascii="David" w:hAnsi="David"/>
          <w:b/>
          <w:bCs/>
          <w:noProof w:val="0"/>
          <w:u w:val="single"/>
          <w:rtl/>
        </w:rPr>
        <w:lastRenderedPageBreak/>
        <w:t xml:space="preserve">התכלית האובייקטיבית </w:t>
      </w:r>
      <w:r w:rsidR="00895863">
        <w:rPr>
          <w:rFonts w:ascii="David" w:hAnsi="David" w:hint="cs"/>
          <w:b/>
          <w:bCs/>
          <w:noProof w:val="0"/>
          <w:u w:val="single"/>
          <w:rtl/>
        </w:rPr>
        <w:t>-</w:t>
      </w:r>
      <w:r w:rsidRPr="00B40998">
        <w:rPr>
          <w:rFonts w:ascii="David" w:hAnsi="David"/>
          <w:b/>
          <w:bCs/>
          <w:noProof w:val="0"/>
          <w:u w:val="single"/>
          <w:rtl/>
        </w:rPr>
        <w:t xml:space="preserve"> שיקול</w:t>
      </w:r>
      <w:r w:rsidR="00CE08C0">
        <w:rPr>
          <w:rFonts w:ascii="David" w:hAnsi="David" w:hint="cs"/>
          <w:b/>
          <w:bCs/>
          <w:noProof w:val="0"/>
          <w:u w:val="single"/>
          <w:rtl/>
        </w:rPr>
        <w:t>י</w:t>
      </w:r>
      <w:r w:rsidRPr="00B40998">
        <w:rPr>
          <w:rFonts w:ascii="David" w:hAnsi="David"/>
          <w:b/>
          <w:bCs/>
          <w:noProof w:val="0"/>
          <w:u w:val="single"/>
          <w:rtl/>
        </w:rPr>
        <w:t xml:space="preserve"> מדיניות</w:t>
      </w:r>
    </w:p>
    <w:p w:rsidR="00475AC1" w:rsidRPr="00B40998" w:rsidRDefault="00475AC1" w:rsidP="00DC33F1">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כאמור, השאלה הפרשנית שלפניי הינה</w:t>
      </w:r>
      <w:r w:rsidR="00895863">
        <w:rPr>
          <w:rFonts w:ascii="David" w:hAnsi="David" w:hint="cs"/>
          <w:noProof w:val="0"/>
          <w:rtl/>
        </w:rPr>
        <w:t>,</w:t>
      </w:r>
      <w:r w:rsidRPr="00B40998">
        <w:rPr>
          <w:rFonts w:ascii="David" w:hAnsi="David"/>
          <w:noProof w:val="0"/>
          <w:rtl/>
        </w:rPr>
        <w:t xml:space="preserve"> האם להתיר למשיב</w:t>
      </w:r>
      <w:r w:rsidR="00895863">
        <w:rPr>
          <w:rFonts w:ascii="David" w:hAnsi="David" w:hint="cs"/>
          <w:noProof w:val="0"/>
          <w:rtl/>
        </w:rPr>
        <w:t>ים</w:t>
      </w:r>
      <w:r w:rsidRPr="00B40998">
        <w:rPr>
          <w:rFonts w:ascii="David" w:hAnsi="David"/>
          <w:noProof w:val="0"/>
          <w:rtl/>
        </w:rPr>
        <w:t xml:space="preserve"> בערעור בענייני משפחה </w:t>
      </w:r>
      <w:r w:rsidR="00DC33F1">
        <w:rPr>
          <w:rFonts w:ascii="David" w:hAnsi="David" w:hint="cs"/>
          <w:noProof w:val="0"/>
          <w:rtl/>
        </w:rPr>
        <w:t>להגיש</w:t>
      </w:r>
      <w:r w:rsidRPr="00B40998">
        <w:rPr>
          <w:rFonts w:ascii="David" w:hAnsi="David"/>
          <w:noProof w:val="0"/>
          <w:rtl/>
        </w:rPr>
        <w:t xml:space="preserve"> ערעור מטעמ</w:t>
      </w:r>
      <w:r w:rsidR="00895863">
        <w:rPr>
          <w:rFonts w:ascii="David" w:hAnsi="David" w:hint="cs"/>
          <w:noProof w:val="0"/>
          <w:rtl/>
        </w:rPr>
        <w:t>ם</w:t>
      </w:r>
      <w:r w:rsidRPr="00B40998">
        <w:rPr>
          <w:rFonts w:ascii="David" w:hAnsi="David"/>
          <w:noProof w:val="0"/>
          <w:rtl/>
        </w:rPr>
        <w:t xml:space="preserve"> גם לאחר שחלפו 45 ימים מיום המצאת פסק הדין, וזאת לאור העובדה כי הוגש ערעור קודם.</w:t>
      </w:r>
    </w:p>
    <w:p w:rsidR="006B20B7" w:rsidRDefault="00475AC1" w:rsidP="00DF0A6A">
      <w:pPr>
        <w:pStyle w:val="ad"/>
        <w:spacing w:after="180" w:line="360" w:lineRule="auto"/>
        <w:ind w:left="652"/>
        <w:contextualSpacing w:val="0"/>
        <w:jc w:val="both"/>
        <w:rPr>
          <w:rFonts w:ascii="David" w:hAnsi="David"/>
          <w:noProof w:val="0"/>
        </w:rPr>
      </w:pPr>
      <w:r w:rsidRPr="00B40998">
        <w:rPr>
          <w:rFonts w:ascii="David" w:hAnsi="David"/>
          <w:noProof w:val="0"/>
          <w:rtl/>
        </w:rPr>
        <w:t>אבחן מהם השיקולים העומדים לצד כל אחד מהדרכים הפרשניות.</w:t>
      </w:r>
    </w:p>
    <w:p w:rsidR="00475AC1" w:rsidRPr="00B40998" w:rsidRDefault="00475AC1" w:rsidP="00895863">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שיקול המדיניות העומד במרכז פרשנות המערער</w:t>
      </w:r>
      <w:r w:rsidR="00895863">
        <w:rPr>
          <w:rFonts w:ascii="David" w:hAnsi="David" w:hint="cs"/>
          <w:noProof w:val="0"/>
          <w:rtl/>
        </w:rPr>
        <w:t>,</w:t>
      </w:r>
      <w:r w:rsidRPr="00B40998">
        <w:rPr>
          <w:rFonts w:ascii="David" w:hAnsi="David"/>
          <w:noProof w:val="0"/>
          <w:rtl/>
        </w:rPr>
        <w:t xml:space="preserve"> ו</w:t>
      </w:r>
      <w:r w:rsidR="00895863">
        <w:rPr>
          <w:rFonts w:ascii="David" w:hAnsi="David" w:hint="cs"/>
          <w:noProof w:val="0"/>
          <w:rtl/>
        </w:rPr>
        <w:t xml:space="preserve">אשר </w:t>
      </w:r>
      <w:r w:rsidRPr="00B40998">
        <w:rPr>
          <w:rFonts w:ascii="David" w:hAnsi="David"/>
          <w:noProof w:val="0"/>
          <w:rtl/>
        </w:rPr>
        <w:t>נתמך בדברי ההסבר לעיל</w:t>
      </w:r>
      <w:r w:rsidR="00895863">
        <w:rPr>
          <w:rFonts w:ascii="David" w:hAnsi="David" w:hint="cs"/>
          <w:noProof w:val="0"/>
          <w:rtl/>
        </w:rPr>
        <w:t>,</w:t>
      </w:r>
      <w:r w:rsidRPr="00B40998">
        <w:rPr>
          <w:rFonts w:ascii="David" w:hAnsi="David"/>
          <w:noProof w:val="0"/>
          <w:rtl/>
        </w:rPr>
        <w:t xml:space="preserve"> הי</w:t>
      </w:r>
      <w:r w:rsidR="00951C84" w:rsidRPr="00B40998">
        <w:rPr>
          <w:rFonts w:ascii="David" w:hAnsi="David"/>
          <w:noProof w:val="0"/>
          <w:rtl/>
        </w:rPr>
        <w:t xml:space="preserve">נו קיצור ההליכים בענייני משפחה. אין עוררין, כי השאיפה </w:t>
      </w:r>
      <w:r w:rsidR="00895863">
        <w:rPr>
          <w:rFonts w:ascii="David" w:hAnsi="David" w:hint="cs"/>
          <w:noProof w:val="0"/>
          <w:rtl/>
        </w:rPr>
        <w:t xml:space="preserve">הינה </w:t>
      </w:r>
      <w:r w:rsidR="00951C84" w:rsidRPr="00B40998">
        <w:rPr>
          <w:rFonts w:ascii="David" w:hAnsi="David"/>
          <w:noProof w:val="0"/>
          <w:rtl/>
        </w:rPr>
        <w:t>כי בע</w:t>
      </w:r>
      <w:r w:rsidR="00895863">
        <w:rPr>
          <w:rFonts w:ascii="David" w:hAnsi="David" w:hint="cs"/>
          <w:noProof w:val="0"/>
          <w:rtl/>
        </w:rPr>
        <w:t>נ</w:t>
      </w:r>
      <w:r w:rsidR="00951C84" w:rsidRPr="00B40998">
        <w:rPr>
          <w:rFonts w:ascii="David" w:hAnsi="David"/>
          <w:noProof w:val="0"/>
          <w:rtl/>
        </w:rPr>
        <w:t>ייני משפחה ההכרעה המשפטית תהיה יעילה ומהירה</w:t>
      </w:r>
      <w:r w:rsidR="00895863">
        <w:rPr>
          <w:rFonts w:ascii="David" w:hAnsi="David" w:hint="cs"/>
          <w:noProof w:val="0"/>
          <w:rtl/>
        </w:rPr>
        <w:t xml:space="preserve"> ככל האפשר</w:t>
      </w:r>
      <w:r w:rsidR="00951C84" w:rsidRPr="00B40998">
        <w:rPr>
          <w:rFonts w:ascii="David" w:hAnsi="David"/>
          <w:noProof w:val="0"/>
          <w:rtl/>
        </w:rPr>
        <w:t xml:space="preserve">. כך, בקווים כלליים ולשם הדוגמא בלבד, מערכת המשפט יכולה לקבל עיכוב </w:t>
      </w:r>
      <w:r w:rsidR="00895863">
        <w:rPr>
          <w:rFonts w:ascii="David" w:hAnsi="David" w:hint="cs"/>
          <w:noProof w:val="0"/>
          <w:rtl/>
        </w:rPr>
        <w:t xml:space="preserve">מסוים </w:t>
      </w:r>
      <w:r w:rsidR="00951C84" w:rsidRPr="00B40998">
        <w:rPr>
          <w:rFonts w:ascii="David" w:hAnsi="David"/>
          <w:noProof w:val="0"/>
          <w:rtl/>
        </w:rPr>
        <w:t>בקבלת פסק דין בתביעה אזרחית כספית כרע הכרחי, אולם קשה לה יותר לקבל עיכוב בהכרעה שיפוטית בדבר משמורת ילדים.</w:t>
      </w:r>
    </w:p>
    <w:p w:rsidR="001D650E" w:rsidRPr="00B40998" w:rsidRDefault="002856D9" w:rsidP="002856D9">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 xml:space="preserve">מכאן </w:t>
      </w:r>
      <w:r w:rsidR="00951C84" w:rsidRPr="00B40998">
        <w:rPr>
          <w:rFonts w:ascii="David" w:hAnsi="David"/>
          <w:noProof w:val="0"/>
          <w:rtl/>
        </w:rPr>
        <w:t xml:space="preserve">ברור, כי </w:t>
      </w:r>
      <w:r w:rsidR="001D650E" w:rsidRPr="00B40998">
        <w:rPr>
          <w:rFonts w:ascii="David" w:hAnsi="David"/>
          <w:noProof w:val="0"/>
          <w:rtl/>
        </w:rPr>
        <w:t>פרשנות המערער ו</w:t>
      </w:r>
      <w:r>
        <w:rPr>
          <w:rFonts w:ascii="David" w:hAnsi="David" w:hint="cs"/>
          <w:noProof w:val="0"/>
          <w:rtl/>
        </w:rPr>
        <w:t xml:space="preserve">פרשנות </w:t>
      </w:r>
      <w:r w:rsidR="001D650E" w:rsidRPr="00B40998">
        <w:rPr>
          <w:rFonts w:ascii="David" w:hAnsi="David"/>
          <w:noProof w:val="0"/>
          <w:rtl/>
        </w:rPr>
        <w:t xml:space="preserve">מתקין התקנות </w:t>
      </w:r>
      <w:r w:rsidR="001D650E" w:rsidRPr="002856D9">
        <w:rPr>
          <w:rFonts w:ascii="David" w:hAnsi="David"/>
          <w:b/>
          <w:bCs/>
          <w:noProof w:val="0"/>
          <w:rtl/>
        </w:rPr>
        <w:t>מקצרת</w:t>
      </w:r>
      <w:r w:rsidR="001D650E" w:rsidRPr="00B40998">
        <w:rPr>
          <w:rFonts w:ascii="David" w:hAnsi="David"/>
          <w:noProof w:val="0"/>
          <w:rtl/>
        </w:rPr>
        <w:t xml:space="preserve"> את הליכי הערעור, כך בהתאם לפרשנות זו, בתום 45 י</w:t>
      </w:r>
      <w:r>
        <w:rPr>
          <w:rFonts w:ascii="David" w:hAnsi="David" w:hint="cs"/>
          <w:noProof w:val="0"/>
          <w:rtl/>
        </w:rPr>
        <w:t>ום</w:t>
      </w:r>
      <w:r w:rsidR="001D650E" w:rsidRPr="00B40998">
        <w:rPr>
          <w:rFonts w:ascii="David" w:hAnsi="David"/>
          <w:noProof w:val="0"/>
          <w:rtl/>
        </w:rPr>
        <w:t xml:space="preserve"> מהמצאת פסק הדין, ככל שהוגשו ערעורים עליו,</w:t>
      </w:r>
      <w:r>
        <w:rPr>
          <w:rFonts w:ascii="David" w:hAnsi="David" w:hint="cs"/>
          <w:noProof w:val="0"/>
          <w:rtl/>
        </w:rPr>
        <w:t xml:space="preserve"> לא ניתן להגיש עוד ערעור כלשהו</w:t>
      </w:r>
      <w:r w:rsidR="001D650E" w:rsidRPr="00B40998">
        <w:rPr>
          <w:rFonts w:ascii="David" w:hAnsi="David"/>
          <w:noProof w:val="0"/>
          <w:rtl/>
        </w:rPr>
        <w:t xml:space="preserve"> </w:t>
      </w:r>
      <w:r>
        <w:rPr>
          <w:rFonts w:ascii="David" w:hAnsi="David" w:hint="cs"/>
          <w:noProof w:val="0"/>
          <w:rtl/>
        </w:rPr>
        <w:t>ו</w:t>
      </w:r>
      <w:r w:rsidR="001D650E" w:rsidRPr="00B40998">
        <w:rPr>
          <w:rFonts w:ascii="David" w:hAnsi="David"/>
          <w:noProof w:val="0"/>
          <w:rtl/>
        </w:rPr>
        <w:t>התיק בשל לדיון בערעורים. לעומת זאת, קבלת פרשנות המשיבה, משמעותה, שיש להמתין עוד 45 יום</w:t>
      </w:r>
      <w:r>
        <w:rPr>
          <w:rFonts w:ascii="David" w:hAnsi="David" w:hint="cs"/>
          <w:noProof w:val="0"/>
          <w:rtl/>
        </w:rPr>
        <w:t xml:space="preserve"> נוספים</w:t>
      </w:r>
      <w:r w:rsidR="001D650E" w:rsidRPr="00B40998">
        <w:rPr>
          <w:rFonts w:ascii="David" w:hAnsi="David"/>
          <w:noProof w:val="0"/>
          <w:rtl/>
        </w:rPr>
        <w:t xml:space="preserve"> מיום הגשת הערעור האחרון עד שניתן יהיה לדון ב</w:t>
      </w:r>
      <w:r>
        <w:rPr>
          <w:rFonts w:ascii="David" w:hAnsi="David" w:hint="cs"/>
          <w:noProof w:val="0"/>
          <w:rtl/>
        </w:rPr>
        <w:t>ערעור או בערעורים שהוגשו</w:t>
      </w:r>
      <w:r w:rsidR="001D650E" w:rsidRPr="00B40998">
        <w:rPr>
          <w:rFonts w:ascii="David" w:hAnsi="David"/>
          <w:noProof w:val="0"/>
          <w:rtl/>
        </w:rPr>
        <w:t>.</w:t>
      </w:r>
    </w:p>
    <w:p w:rsidR="001D650E" w:rsidRPr="00B40998" w:rsidRDefault="001D650E" w:rsidP="00C46180">
      <w:pPr>
        <w:pStyle w:val="ad"/>
        <w:spacing w:after="180" w:line="360" w:lineRule="auto"/>
        <w:ind w:left="652"/>
        <w:contextualSpacing w:val="0"/>
        <w:jc w:val="both"/>
        <w:rPr>
          <w:rFonts w:ascii="David" w:hAnsi="David"/>
          <w:noProof w:val="0"/>
        </w:rPr>
      </w:pPr>
      <w:r w:rsidRPr="00B40998">
        <w:rPr>
          <w:rFonts w:ascii="David" w:hAnsi="David"/>
          <w:noProof w:val="0"/>
          <w:rtl/>
        </w:rPr>
        <w:t>כאמור, כאשר עסקינן בנושאים רגישים כענייני משפחה,</w:t>
      </w:r>
      <w:r w:rsidR="00E07C83" w:rsidRPr="00B40998">
        <w:rPr>
          <w:rFonts w:ascii="David" w:hAnsi="David"/>
          <w:noProof w:val="0"/>
          <w:rtl/>
        </w:rPr>
        <w:t xml:space="preserve"> עיכוב בדיון </w:t>
      </w:r>
      <w:r w:rsidR="002856D9">
        <w:rPr>
          <w:rFonts w:ascii="David" w:hAnsi="David" w:hint="cs"/>
          <w:noProof w:val="0"/>
          <w:rtl/>
        </w:rPr>
        <w:t>בערעור</w:t>
      </w:r>
      <w:r w:rsidR="00C46180">
        <w:rPr>
          <w:rFonts w:ascii="David" w:hAnsi="David" w:hint="cs"/>
          <w:noProof w:val="0"/>
          <w:rtl/>
        </w:rPr>
        <w:t xml:space="preserve"> ב- 45 יום נוספים</w:t>
      </w:r>
      <w:r w:rsidR="002856D9">
        <w:rPr>
          <w:rFonts w:ascii="David" w:hAnsi="David" w:hint="cs"/>
          <w:noProof w:val="0"/>
          <w:rtl/>
        </w:rPr>
        <w:t xml:space="preserve"> </w:t>
      </w:r>
      <w:r w:rsidRPr="00B40998">
        <w:rPr>
          <w:rFonts w:ascii="David" w:hAnsi="David"/>
          <w:noProof w:val="0"/>
          <w:rtl/>
        </w:rPr>
        <w:t>עלול להיות משמעותי</w:t>
      </w:r>
      <w:r w:rsidR="00E07C83" w:rsidRPr="00B40998">
        <w:rPr>
          <w:rFonts w:ascii="David" w:hAnsi="David"/>
          <w:noProof w:val="0"/>
          <w:rtl/>
        </w:rPr>
        <w:t>.</w:t>
      </w:r>
      <w:r w:rsidRPr="00B40998">
        <w:rPr>
          <w:rFonts w:ascii="David" w:hAnsi="David"/>
          <w:noProof w:val="0"/>
          <w:rtl/>
        </w:rPr>
        <w:t xml:space="preserve"> </w:t>
      </w:r>
    </w:p>
    <w:p w:rsidR="0095462B" w:rsidRPr="00B40998" w:rsidRDefault="0095462B" w:rsidP="00C46180">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אציין</w:t>
      </w:r>
      <w:r w:rsidR="00C46180">
        <w:rPr>
          <w:rFonts w:ascii="David" w:hAnsi="David" w:hint="cs"/>
          <w:noProof w:val="0"/>
          <w:rtl/>
        </w:rPr>
        <w:t>,</w:t>
      </w:r>
      <w:r w:rsidRPr="00B40998">
        <w:rPr>
          <w:rFonts w:ascii="David" w:hAnsi="David"/>
          <w:noProof w:val="0"/>
          <w:rtl/>
        </w:rPr>
        <w:t xml:space="preserve"> כי קיים חשש שפרשנות </w:t>
      </w:r>
      <w:r w:rsidR="00C46180">
        <w:rPr>
          <w:rFonts w:ascii="David" w:hAnsi="David" w:hint="cs"/>
          <w:noProof w:val="0"/>
          <w:rtl/>
        </w:rPr>
        <w:t>המשיב</w:t>
      </w:r>
      <w:r w:rsidRPr="00B40998">
        <w:rPr>
          <w:rFonts w:ascii="David" w:hAnsi="David"/>
          <w:noProof w:val="0"/>
          <w:rtl/>
        </w:rPr>
        <w:t xml:space="preserve"> תוליד אף עיכוב גדול יותר, וזאת במקרה שיש מספר משיבים לערעור, דבר שאינו נדיר בענייני משפחה. במקרה שכזה, יכולה לעלות </w:t>
      </w:r>
      <w:r w:rsidR="002856D9">
        <w:rPr>
          <w:rFonts w:ascii="David" w:hAnsi="David" w:hint="cs"/>
          <w:noProof w:val="0"/>
          <w:rtl/>
        </w:rPr>
        <w:t>ה</w:t>
      </w:r>
      <w:r w:rsidRPr="00B40998">
        <w:rPr>
          <w:rFonts w:ascii="David" w:hAnsi="David"/>
          <w:noProof w:val="0"/>
          <w:rtl/>
        </w:rPr>
        <w:t>טענה כי כאשר מוגש ערעור משיב, הרי גם המשיבים</w:t>
      </w:r>
      <w:r w:rsidR="00C46180">
        <w:rPr>
          <w:rFonts w:ascii="David" w:hAnsi="David" w:hint="cs"/>
          <w:noProof w:val="0"/>
          <w:rtl/>
        </w:rPr>
        <w:t xml:space="preserve"> החדשים, הם המשיבים</w:t>
      </w:r>
      <w:r w:rsidRPr="00B40998">
        <w:rPr>
          <w:rFonts w:ascii="David" w:hAnsi="David"/>
          <w:noProof w:val="0"/>
          <w:rtl/>
        </w:rPr>
        <w:t xml:space="preserve"> לערעור המשיב</w:t>
      </w:r>
      <w:r w:rsidR="00C46180">
        <w:rPr>
          <w:rFonts w:ascii="David" w:hAnsi="David" w:hint="cs"/>
          <w:noProof w:val="0"/>
          <w:rtl/>
        </w:rPr>
        <w:t>,</w:t>
      </w:r>
      <w:r w:rsidRPr="00B40998">
        <w:rPr>
          <w:rFonts w:ascii="David" w:hAnsi="David"/>
          <w:noProof w:val="0"/>
          <w:rtl/>
        </w:rPr>
        <w:t xml:space="preserve"> רשאים להגיש </w:t>
      </w:r>
      <w:r w:rsidR="00C46180">
        <w:rPr>
          <w:rFonts w:ascii="David" w:hAnsi="David" w:hint="cs"/>
          <w:noProof w:val="0"/>
          <w:rtl/>
        </w:rPr>
        <w:t>'</w:t>
      </w:r>
      <w:r w:rsidRPr="00B40998">
        <w:rPr>
          <w:rFonts w:ascii="David" w:hAnsi="David"/>
          <w:noProof w:val="0"/>
          <w:rtl/>
        </w:rPr>
        <w:t>ערעור משיב</w:t>
      </w:r>
      <w:r w:rsidR="00C46180">
        <w:rPr>
          <w:rFonts w:ascii="David" w:hAnsi="David" w:hint="cs"/>
          <w:noProof w:val="0"/>
          <w:rtl/>
        </w:rPr>
        <w:t>'</w:t>
      </w:r>
      <w:r w:rsidRPr="00B40998">
        <w:rPr>
          <w:rFonts w:ascii="David" w:hAnsi="David"/>
          <w:noProof w:val="0"/>
          <w:rtl/>
        </w:rPr>
        <w:t xml:space="preserve"> מטע</w:t>
      </w:r>
      <w:r w:rsidR="002856D9">
        <w:rPr>
          <w:rFonts w:ascii="David" w:hAnsi="David" w:hint="cs"/>
          <w:noProof w:val="0"/>
          <w:rtl/>
        </w:rPr>
        <w:t>מ</w:t>
      </w:r>
      <w:r w:rsidRPr="00B40998">
        <w:rPr>
          <w:rFonts w:ascii="David" w:hAnsi="David"/>
          <w:noProof w:val="0"/>
          <w:rtl/>
        </w:rPr>
        <w:t xml:space="preserve">ם בפרק זמן </w:t>
      </w:r>
      <w:r w:rsidRPr="002856D9">
        <w:rPr>
          <w:rFonts w:ascii="David" w:hAnsi="David"/>
          <w:b/>
          <w:bCs/>
          <w:noProof w:val="0"/>
          <w:rtl/>
        </w:rPr>
        <w:t>נוסף</w:t>
      </w:r>
      <w:r w:rsidRPr="00B40998">
        <w:rPr>
          <w:rFonts w:ascii="David" w:hAnsi="David"/>
          <w:noProof w:val="0"/>
          <w:rtl/>
        </w:rPr>
        <w:t xml:space="preserve"> של 45 י</w:t>
      </w:r>
      <w:r w:rsidR="002856D9">
        <w:rPr>
          <w:rFonts w:ascii="David" w:hAnsi="David" w:hint="cs"/>
          <w:noProof w:val="0"/>
          <w:rtl/>
        </w:rPr>
        <w:t>ום מיום שהומצא להם ערעור המשיב</w:t>
      </w:r>
      <w:r w:rsidR="00C46180">
        <w:rPr>
          <w:rFonts w:ascii="David" w:hAnsi="David" w:hint="cs"/>
          <w:noProof w:val="0"/>
          <w:rtl/>
        </w:rPr>
        <w:t xml:space="preserve"> האחר</w:t>
      </w:r>
      <w:r w:rsidRPr="00B40998">
        <w:rPr>
          <w:rFonts w:ascii="David" w:hAnsi="David"/>
          <w:noProof w:val="0"/>
          <w:rtl/>
        </w:rPr>
        <w:t>, כך שהעיכוב ב</w:t>
      </w:r>
      <w:r w:rsidR="002856D9">
        <w:rPr>
          <w:rFonts w:ascii="David" w:hAnsi="David" w:hint="cs"/>
          <w:noProof w:val="0"/>
          <w:rtl/>
        </w:rPr>
        <w:t xml:space="preserve">ניהול </w:t>
      </w:r>
      <w:r w:rsidRPr="00B40998">
        <w:rPr>
          <w:rFonts w:ascii="David" w:hAnsi="David"/>
          <w:noProof w:val="0"/>
          <w:rtl/>
        </w:rPr>
        <w:t xml:space="preserve">התיק עלול להיות רב </w:t>
      </w:r>
      <w:r w:rsidR="002856D9">
        <w:rPr>
          <w:rFonts w:ascii="David" w:hAnsi="David" w:hint="cs"/>
          <w:noProof w:val="0"/>
          <w:rtl/>
        </w:rPr>
        <w:t xml:space="preserve">עוד יותר </w:t>
      </w:r>
      <w:r w:rsidRPr="00B40998">
        <w:rPr>
          <w:rFonts w:ascii="David" w:hAnsi="David"/>
          <w:noProof w:val="0"/>
          <w:rtl/>
        </w:rPr>
        <w:t>כאשר מדובר בצדדים רבים.</w:t>
      </w:r>
    </w:p>
    <w:p w:rsidR="0095462B" w:rsidRPr="00B40998" w:rsidRDefault="0095462B" w:rsidP="00C46180">
      <w:pPr>
        <w:pStyle w:val="ad"/>
        <w:spacing w:after="180" w:line="360" w:lineRule="auto"/>
        <w:ind w:left="652"/>
        <w:contextualSpacing w:val="0"/>
        <w:jc w:val="both"/>
        <w:rPr>
          <w:rFonts w:ascii="David" w:hAnsi="David"/>
          <w:b/>
          <w:bCs/>
          <w:noProof w:val="0"/>
        </w:rPr>
      </w:pPr>
      <w:r w:rsidRPr="00B40998">
        <w:rPr>
          <w:rFonts w:ascii="David" w:hAnsi="David"/>
          <w:noProof w:val="0"/>
          <w:rtl/>
        </w:rPr>
        <w:t xml:space="preserve">אציין, כי </w:t>
      </w:r>
      <w:r w:rsidR="00C46180">
        <w:rPr>
          <w:rFonts w:ascii="David" w:hAnsi="David" w:hint="cs"/>
          <w:noProof w:val="0"/>
          <w:rtl/>
        </w:rPr>
        <w:t xml:space="preserve">אכן </w:t>
      </w:r>
      <w:r w:rsidRPr="00B40998">
        <w:rPr>
          <w:rFonts w:ascii="David" w:hAnsi="David"/>
          <w:noProof w:val="0"/>
          <w:rtl/>
        </w:rPr>
        <w:t xml:space="preserve">פרשנות </w:t>
      </w:r>
      <w:r w:rsidR="00C46180">
        <w:rPr>
          <w:rFonts w:ascii="David" w:hAnsi="David" w:hint="cs"/>
          <w:noProof w:val="0"/>
          <w:rtl/>
        </w:rPr>
        <w:t xml:space="preserve">זו </w:t>
      </w:r>
      <w:r w:rsidRPr="00B40998">
        <w:rPr>
          <w:rFonts w:ascii="David" w:hAnsi="David"/>
          <w:noProof w:val="0"/>
          <w:rtl/>
        </w:rPr>
        <w:t>נדחתה על ידי רשם בית המשפט העליון בעניין ע"א 2298/21 ‏</w:t>
      </w:r>
      <w:r w:rsidRPr="00B40998">
        <w:rPr>
          <w:rFonts w:ascii="David" w:hAnsi="David"/>
          <w:b/>
          <w:bCs/>
          <w:noProof w:val="0"/>
          <w:rtl/>
        </w:rPr>
        <w:t>אליהו לוי נ' אגודת מושב מצליח - מושב עובדים להתיישבות חקלאית שיתופית בע"מ</w:t>
      </w:r>
      <w:r w:rsidRPr="00B40998">
        <w:rPr>
          <w:rFonts w:ascii="David" w:hAnsi="David"/>
          <w:noProof w:val="0"/>
          <w:rtl/>
        </w:rPr>
        <w:t xml:space="preserve"> [פורסם במאגר נבו] (3.2.2022) לגבי ערעור אזרחי, אבל אין מדובר בהלכה מחייבת.</w:t>
      </w:r>
      <w:r w:rsidRPr="00B40998">
        <w:rPr>
          <w:rFonts w:ascii="David" w:hAnsi="David"/>
          <w:b/>
          <w:bCs/>
          <w:noProof w:val="0"/>
          <w:rtl/>
        </w:rPr>
        <w:t xml:space="preserve"> </w:t>
      </w:r>
    </w:p>
    <w:p w:rsidR="00951C84" w:rsidRPr="00B40998" w:rsidRDefault="00E07C83" w:rsidP="00C46180">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שיקול </w:t>
      </w:r>
      <w:r w:rsidR="002856D9">
        <w:rPr>
          <w:rFonts w:ascii="David" w:hAnsi="David" w:hint="cs"/>
          <w:noProof w:val="0"/>
          <w:rtl/>
        </w:rPr>
        <w:t xml:space="preserve">מדיניות נוסף התומך בפרשנות המערער </w:t>
      </w:r>
      <w:r w:rsidRPr="00B40998">
        <w:rPr>
          <w:rFonts w:ascii="David" w:hAnsi="David"/>
          <w:noProof w:val="0"/>
          <w:rtl/>
        </w:rPr>
        <w:t>בעניין זה ה</w:t>
      </w:r>
      <w:r w:rsidR="00C46180">
        <w:rPr>
          <w:rFonts w:ascii="David" w:hAnsi="David" w:hint="cs"/>
          <w:noProof w:val="0"/>
          <w:rtl/>
        </w:rPr>
        <w:t xml:space="preserve">וא </w:t>
      </w:r>
      <w:r w:rsidRPr="00B40998">
        <w:rPr>
          <w:rFonts w:ascii="David" w:hAnsi="David"/>
          <w:noProof w:val="0"/>
          <w:rtl/>
        </w:rPr>
        <w:t xml:space="preserve">כי פרשנות זו מונעת הגשת ערעורי סרק </w:t>
      </w:r>
      <w:r w:rsidR="002856D9">
        <w:rPr>
          <w:rFonts w:ascii="David" w:hAnsi="David" w:hint="cs"/>
          <w:noProof w:val="0"/>
          <w:rtl/>
        </w:rPr>
        <w:t xml:space="preserve">מטעמים </w:t>
      </w:r>
      <w:r w:rsidRPr="00B40998">
        <w:rPr>
          <w:rFonts w:ascii="David" w:hAnsi="David"/>
          <w:noProof w:val="0"/>
          <w:rtl/>
        </w:rPr>
        <w:t>טקטיים</w:t>
      </w:r>
      <w:r w:rsidR="002856D9">
        <w:rPr>
          <w:rFonts w:ascii="David" w:hAnsi="David" w:hint="cs"/>
          <w:noProof w:val="0"/>
          <w:rtl/>
        </w:rPr>
        <w:t xml:space="preserve"> בלבד</w:t>
      </w:r>
      <w:r w:rsidRPr="00B40998">
        <w:rPr>
          <w:rFonts w:ascii="David" w:hAnsi="David"/>
          <w:noProof w:val="0"/>
          <w:rtl/>
        </w:rPr>
        <w:t xml:space="preserve">. במקרים רבים המשיב כלל אינו מעוניין להגיש ערעור מטעמו, אולם </w:t>
      </w:r>
      <w:r w:rsidR="00C46180">
        <w:rPr>
          <w:rFonts w:ascii="David" w:hAnsi="David" w:hint="cs"/>
          <w:noProof w:val="0"/>
          <w:rtl/>
        </w:rPr>
        <w:t xml:space="preserve">רק </w:t>
      </w:r>
      <w:r w:rsidR="002856D9">
        <w:rPr>
          <w:rFonts w:ascii="David" w:hAnsi="David" w:hint="cs"/>
          <w:noProof w:val="0"/>
          <w:rtl/>
        </w:rPr>
        <w:t>מכיוון ש</w:t>
      </w:r>
      <w:r w:rsidRPr="00B40998">
        <w:rPr>
          <w:rFonts w:ascii="David" w:hAnsi="David"/>
          <w:noProof w:val="0"/>
          <w:rtl/>
        </w:rPr>
        <w:t xml:space="preserve">המערער הגיש ערעור, וכאשר ניתן לו מועד מספיק לכך, הוא מגיש ערעור משיב מטעמו. </w:t>
      </w:r>
    </w:p>
    <w:p w:rsidR="00E07C83" w:rsidRDefault="002856D9" w:rsidP="002856D9">
      <w:pPr>
        <w:pStyle w:val="ad"/>
        <w:spacing w:after="180" w:line="360" w:lineRule="auto"/>
        <w:ind w:left="652"/>
        <w:contextualSpacing w:val="0"/>
        <w:jc w:val="both"/>
        <w:rPr>
          <w:rFonts w:ascii="David" w:hAnsi="David"/>
          <w:noProof w:val="0"/>
          <w:rtl/>
        </w:rPr>
      </w:pPr>
      <w:r>
        <w:rPr>
          <w:rFonts w:ascii="David" w:hAnsi="David" w:hint="cs"/>
          <w:noProof w:val="0"/>
          <w:rtl/>
        </w:rPr>
        <w:lastRenderedPageBreak/>
        <w:t xml:space="preserve">מכאן, </w:t>
      </w:r>
      <w:r w:rsidR="00E07C83" w:rsidRPr="00B40998">
        <w:rPr>
          <w:rFonts w:ascii="David" w:hAnsi="David"/>
          <w:noProof w:val="0"/>
          <w:rtl/>
        </w:rPr>
        <w:t>מתן</w:t>
      </w:r>
      <w:r>
        <w:rPr>
          <w:rFonts w:ascii="David" w:hAnsi="David" w:hint="cs"/>
          <w:noProof w:val="0"/>
          <w:rtl/>
        </w:rPr>
        <w:t xml:space="preserve"> ה</w:t>
      </w:r>
      <w:r w:rsidR="00E07C83" w:rsidRPr="00B40998">
        <w:rPr>
          <w:rFonts w:ascii="David" w:hAnsi="David"/>
          <w:noProof w:val="0"/>
          <w:rtl/>
        </w:rPr>
        <w:t xml:space="preserve">זכות להגשת ערעור משיב בפרק זמן נוסף </w:t>
      </w:r>
      <w:r w:rsidR="00D81C37">
        <w:rPr>
          <w:rFonts w:ascii="David" w:hAnsi="David" w:hint="cs"/>
          <w:noProof w:val="0"/>
          <w:rtl/>
        </w:rPr>
        <w:t xml:space="preserve">לאחר שהוגש הערעור הראשי </w:t>
      </w:r>
      <w:r w:rsidR="00E07C83" w:rsidRPr="00B40998">
        <w:rPr>
          <w:rFonts w:ascii="David" w:hAnsi="David"/>
          <w:noProof w:val="0"/>
          <w:rtl/>
        </w:rPr>
        <w:t>נותנת תמריץ להגשת ערעור</w:t>
      </w:r>
      <w:r>
        <w:rPr>
          <w:rFonts w:ascii="David" w:hAnsi="David" w:hint="cs"/>
          <w:noProof w:val="0"/>
          <w:rtl/>
        </w:rPr>
        <w:t xml:space="preserve"> טקטי</w:t>
      </w:r>
      <w:r w:rsidR="00E07C83" w:rsidRPr="00B40998">
        <w:rPr>
          <w:rFonts w:ascii="David" w:hAnsi="David"/>
          <w:noProof w:val="0"/>
          <w:rtl/>
        </w:rPr>
        <w:t xml:space="preserve"> שכזה. </w:t>
      </w:r>
    </w:p>
    <w:p w:rsidR="002856D9" w:rsidRPr="00B40998" w:rsidRDefault="002856D9" w:rsidP="00D81C37">
      <w:pPr>
        <w:pStyle w:val="ad"/>
        <w:spacing w:after="180" w:line="360" w:lineRule="auto"/>
        <w:ind w:left="652"/>
        <w:contextualSpacing w:val="0"/>
        <w:jc w:val="both"/>
        <w:rPr>
          <w:rFonts w:ascii="David" w:hAnsi="David"/>
          <w:noProof w:val="0"/>
          <w:rtl/>
        </w:rPr>
      </w:pPr>
      <w:r>
        <w:rPr>
          <w:rFonts w:ascii="David" w:hAnsi="David" w:hint="cs"/>
          <w:noProof w:val="0"/>
          <w:rtl/>
        </w:rPr>
        <w:t>למעשה, המשיבה כאן, מודה כי הערעור מטעמה הינו ערעור טקטי במטרה ל</w:t>
      </w:r>
      <w:r w:rsidR="00D81C37">
        <w:rPr>
          <w:rFonts w:ascii="David" w:hAnsi="David" w:hint="cs"/>
          <w:noProof w:val="0"/>
          <w:rtl/>
        </w:rPr>
        <w:t>יי</w:t>
      </w:r>
      <w:r>
        <w:rPr>
          <w:rFonts w:ascii="David" w:hAnsi="David" w:hint="cs"/>
          <w:noProof w:val="0"/>
          <w:rtl/>
        </w:rPr>
        <w:t xml:space="preserve">צר משקל נגד לערעור המערער, ואילו </w:t>
      </w:r>
      <w:r w:rsidR="00D81C37">
        <w:rPr>
          <w:rFonts w:ascii="David" w:hAnsi="David" w:hint="cs"/>
          <w:noProof w:val="0"/>
          <w:rtl/>
        </w:rPr>
        <w:t xml:space="preserve">ערעור המערער </w:t>
      </w:r>
      <w:r>
        <w:rPr>
          <w:rFonts w:ascii="David" w:hAnsi="David" w:hint="cs"/>
          <w:noProof w:val="0"/>
          <w:rtl/>
        </w:rPr>
        <w:t>לא היה מוגש, לא הייתה מגישה ערעור מטעמה</w:t>
      </w:r>
      <w:r w:rsidR="00D81C37">
        <w:rPr>
          <w:rFonts w:ascii="David" w:hAnsi="David" w:hint="cs"/>
          <w:noProof w:val="0"/>
          <w:rtl/>
        </w:rPr>
        <w:t xml:space="preserve"> (ר' סעיף 8 הודעת הערעור)</w:t>
      </w:r>
      <w:r>
        <w:rPr>
          <w:rFonts w:ascii="David" w:hAnsi="David" w:hint="cs"/>
          <w:noProof w:val="0"/>
          <w:rtl/>
        </w:rPr>
        <w:t>.</w:t>
      </w:r>
    </w:p>
    <w:p w:rsidR="00DF7B22" w:rsidRDefault="00E07C83" w:rsidP="00D81C37">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חשוב לציין בהקשר </w:t>
      </w:r>
      <w:r w:rsidR="00D81C37">
        <w:rPr>
          <w:rFonts w:ascii="David" w:hAnsi="David" w:hint="cs"/>
          <w:noProof w:val="0"/>
          <w:rtl/>
        </w:rPr>
        <w:t>הצגת</w:t>
      </w:r>
      <w:r w:rsidR="002856D9">
        <w:rPr>
          <w:rFonts w:ascii="David" w:hAnsi="David" w:hint="cs"/>
          <w:noProof w:val="0"/>
          <w:rtl/>
        </w:rPr>
        <w:t xml:space="preserve"> </w:t>
      </w:r>
      <w:r w:rsidRPr="00B40998">
        <w:rPr>
          <w:rFonts w:ascii="David" w:hAnsi="David"/>
          <w:noProof w:val="0"/>
          <w:rtl/>
        </w:rPr>
        <w:t xml:space="preserve">השיקולים התומכים בפרשנות </w:t>
      </w:r>
      <w:r w:rsidR="002856D9">
        <w:rPr>
          <w:rFonts w:ascii="David" w:hAnsi="David" w:hint="cs"/>
          <w:noProof w:val="0"/>
          <w:rtl/>
        </w:rPr>
        <w:t>המערער</w:t>
      </w:r>
      <w:r w:rsidRPr="00B40998">
        <w:rPr>
          <w:rFonts w:ascii="David" w:hAnsi="David"/>
          <w:noProof w:val="0"/>
          <w:rtl/>
        </w:rPr>
        <w:t>, כי אין הכוונה ב</w:t>
      </w:r>
      <w:r w:rsidR="00D81C37">
        <w:rPr>
          <w:rFonts w:ascii="David" w:hAnsi="David" w:hint="cs"/>
          <w:noProof w:val="0"/>
          <w:rtl/>
        </w:rPr>
        <w:t xml:space="preserve">שיקולים התומכים במניעת האפשרות של </w:t>
      </w:r>
      <w:r w:rsidRPr="00B40998">
        <w:rPr>
          <w:rFonts w:ascii="David" w:hAnsi="David"/>
          <w:noProof w:val="0"/>
          <w:rtl/>
        </w:rPr>
        <w:t>הצדדים להגיש ערעור</w:t>
      </w:r>
      <w:r w:rsidR="00A831D1" w:rsidRPr="00B40998">
        <w:rPr>
          <w:rFonts w:ascii="David" w:hAnsi="David"/>
          <w:noProof w:val="0"/>
          <w:rtl/>
        </w:rPr>
        <w:t xml:space="preserve">, אלא </w:t>
      </w:r>
      <w:r w:rsidR="002856D9">
        <w:rPr>
          <w:rFonts w:ascii="David" w:hAnsi="David" w:hint="cs"/>
          <w:noProof w:val="0"/>
          <w:rtl/>
        </w:rPr>
        <w:t xml:space="preserve">שיקולים אלו </w:t>
      </w:r>
      <w:r w:rsidR="00D81C37">
        <w:rPr>
          <w:rFonts w:ascii="David" w:hAnsi="David" w:hint="cs"/>
          <w:noProof w:val="0"/>
          <w:rtl/>
        </w:rPr>
        <w:t xml:space="preserve">מצדיקים את תחימת </w:t>
      </w:r>
      <w:r w:rsidR="00A831D1" w:rsidRPr="00B40998">
        <w:rPr>
          <w:rFonts w:ascii="David" w:hAnsi="David"/>
          <w:noProof w:val="0"/>
          <w:rtl/>
        </w:rPr>
        <w:t xml:space="preserve">זכותם </w:t>
      </w:r>
      <w:r w:rsidR="00190D81">
        <w:rPr>
          <w:rFonts w:ascii="David" w:hAnsi="David" w:hint="cs"/>
          <w:noProof w:val="0"/>
          <w:rtl/>
        </w:rPr>
        <w:t>של הצדדים להגיש ערעור</w:t>
      </w:r>
      <w:r w:rsidR="00A831D1" w:rsidRPr="00B40998">
        <w:rPr>
          <w:rFonts w:ascii="David" w:hAnsi="David"/>
          <w:noProof w:val="0"/>
          <w:rtl/>
        </w:rPr>
        <w:t xml:space="preserve"> בסד זמנים של 45 ימים מיום המצאת פסק הדין. </w:t>
      </w:r>
    </w:p>
    <w:p w:rsidR="00A831D1" w:rsidRPr="00B40998" w:rsidRDefault="00A831D1" w:rsidP="00DF7B22">
      <w:pPr>
        <w:pStyle w:val="ad"/>
        <w:spacing w:after="180" w:line="360" w:lineRule="auto"/>
        <w:ind w:left="652"/>
        <w:contextualSpacing w:val="0"/>
        <w:jc w:val="both"/>
        <w:rPr>
          <w:rFonts w:ascii="David" w:hAnsi="David"/>
          <w:noProof w:val="0"/>
        </w:rPr>
      </w:pPr>
      <w:r w:rsidRPr="00B40998">
        <w:rPr>
          <w:rFonts w:ascii="David" w:hAnsi="David"/>
          <w:noProof w:val="0"/>
          <w:rtl/>
        </w:rPr>
        <w:t xml:space="preserve">ההנחה העומדת מאחורי </w:t>
      </w:r>
      <w:r w:rsidR="00190D81">
        <w:rPr>
          <w:rFonts w:ascii="David" w:hAnsi="David" w:hint="cs"/>
          <w:noProof w:val="0"/>
          <w:rtl/>
        </w:rPr>
        <w:t>הטלת מ</w:t>
      </w:r>
      <w:r w:rsidRPr="00B40998">
        <w:rPr>
          <w:rFonts w:ascii="David" w:hAnsi="David"/>
          <w:noProof w:val="0"/>
          <w:rtl/>
        </w:rPr>
        <w:t xml:space="preserve">גבלה זו, ויש בה הגיון של ממש, הינה כי אם צד סבור שפסק הדין </w:t>
      </w:r>
      <w:r w:rsidR="00D81C37">
        <w:rPr>
          <w:rFonts w:ascii="David" w:hAnsi="David" w:hint="cs"/>
          <w:noProof w:val="0"/>
          <w:rtl/>
        </w:rPr>
        <w:t xml:space="preserve">בערכאת קמא </w:t>
      </w:r>
      <w:r w:rsidRPr="00B40998">
        <w:rPr>
          <w:rFonts w:ascii="David" w:hAnsi="David"/>
          <w:noProof w:val="0"/>
          <w:rtl/>
        </w:rPr>
        <w:t xml:space="preserve">שגוי ונגרם לו עוול, אזי הוא יגיש ערעור </w:t>
      </w:r>
      <w:r w:rsidR="00D81C37">
        <w:rPr>
          <w:rFonts w:ascii="David" w:hAnsi="David" w:hint="cs"/>
          <w:noProof w:val="0"/>
          <w:rtl/>
        </w:rPr>
        <w:t xml:space="preserve">מטעמו </w:t>
      </w:r>
      <w:r w:rsidRPr="00B40998">
        <w:rPr>
          <w:rFonts w:ascii="David" w:hAnsi="David"/>
          <w:noProof w:val="0"/>
          <w:rtl/>
        </w:rPr>
        <w:t>ללא קשר האם הצד שני מתכוון או שאינו מתכוון להגיש ערעור</w:t>
      </w:r>
      <w:r w:rsidR="00190D81">
        <w:rPr>
          <w:rFonts w:ascii="David" w:hAnsi="David" w:hint="cs"/>
          <w:noProof w:val="0"/>
          <w:rtl/>
        </w:rPr>
        <w:t xml:space="preserve"> מטעמו</w:t>
      </w:r>
      <w:r w:rsidR="00D81C37">
        <w:rPr>
          <w:rFonts w:ascii="David" w:hAnsi="David" w:hint="cs"/>
          <w:noProof w:val="0"/>
          <w:rtl/>
        </w:rPr>
        <w:t>.</w:t>
      </w:r>
      <w:r w:rsidRPr="00B40998">
        <w:rPr>
          <w:rFonts w:ascii="David" w:hAnsi="David"/>
          <w:noProof w:val="0"/>
          <w:rtl/>
        </w:rPr>
        <w:t xml:space="preserve"> וכ</w:t>
      </w:r>
      <w:r w:rsidR="00190D81">
        <w:rPr>
          <w:rFonts w:ascii="David" w:hAnsi="David" w:hint="cs"/>
          <w:noProof w:val="0"/>
          <w:rtl/>
        </w:rPr>
        <w:t>ן</w:t>
      </w:r>
      <w:r w:rsidRPr="00B40998">
        <w:rPr>
          <w:rFonts w:ascii="David" w:hAnsi="David"/>
          <w:noProof w:val="0"/>
          <w:rtl/>
        </w:rPr>
        <w:t xml:space="preserve"> להפך, אם צד סבור כי פסק הדין </w:t>
      </w:r>
      <w:r w:rsidR="00D81C37">
        <w:rPr>
          <w:rFonts w:ascii="David" w:hAnsi="David" w:hint="cs"/>
          <w:noProof w:val="0"/>
          <w:rtl/>
        </w:rPr>
        <w:t>של ערכאת קמא ראוי ולא היה מקום להגיש ערעור מטעמו על פסק הדין</w:t>
      </w:r>
      <w:r w:rsidRPr="00B40998">
        <w:rPr>
          <w:rFonts w:ascii="David" w:hAnsi="David"/>
          <w:noProof w:val="0"/>
          <w:rtl/>
        </w:rPr>
        <w:t xml:space="preserve">, הרי </w:t>
      </w:r>
      <w:r w:rsidR="00DF7B22">
        <w:rPr>
          <w:rFonts w:ascii="David" w:hAnsi="David" w:hint="cs"/>
          <w:noProof w:val="0"/>
          <w:rtl/>
        </w:rPr>
        <w:t xml:space="preserve">עצם </w:t>
      </w:r>
      <w:r w:rsidRPr="00B40998">
        <w:rPr>
          <w:rFonts w:ascii="David" w:hAnsi="David"/>
          <w:noProof w:val="0"/>
          <w:rtl/>
        </w:rPr>
        <w:t xml:space="preserve">העובדה כי הצד שכנגד הגיש ערעור מטעמו </w:t>
      </w:r>
      <w:r w:rsidRPr="00190D81">
        <w:rPr>
          <w:rFonts w:ascii="David" w:hAnsi="David"/>
          <w:b/>
          <w:bCs/>
          <w:noProof w:val="0"/>
          <w:rtl/>
        </w:rPr>
        <w:t>אינה</w:t>
      </w:r>
      <w:r w:rsidRPr="00B40998">
        <w:rPr>
          <w:rFonts w:ascii="David" w:hAnsi="David"/>
          <w:noProof w:val="0"/>
          <w:rtl/>
        </w:rPr>
        <w:t xml:space="preserve"> </w:t>
      </w:r>
      <w:r w:rsidR="00190D81">
        <w:rPr>
          <w:rFonts w:ascii="David" w:hAnsi="David" w:hint="cs"/>
          <w:noProof w:val="0"/>
          <w:rtl/>
        </w:rPr>
        <w:t>אמורה ל</w:t>
      </w:r>
      <w:r w:rsidR="00190D81">
        <w:rPr>
          <w:rFonts w:ascii="David" w:hAnsi="David"/>
          <w:noProof w:val="0"/>
          <w:rtl/>
        </w:rPr>
        <w:t>הוו</w:t>
      </w:r>
      <w:r w:rsidR="00190D81">
        <w:rPr>
          <w:rFonts w:ascii="David" w:hAnsi="David" w:hint="cs"/>
          <w:noProof w:val="0"/>
          <w:rtl/>
        </w:rPr>
        <w:t>ת</w:t>
      </w:r>
      <w:r w:rsidRPr="00B40998">
        <w:rPr>
          <w:rFonts w:ascii="David" w:hAnsi="David"/>
          <w:noProof w:val="0"/>
          <w:rtl/>
        </w:rPr>
        <w:t xml:space="preserve"> טעם מספיק לאפשר לו להגיש ערעור בחלוף המועד</w:t>
      </w:r>
      <w:r w:rsidR="00190D81">
        <w:rPr>
          <w:rFonts w:ascii="David" w:hAnsi="David" w:hint="cs"/>
          <w:noProof w:val="0"/>
          <w:rtl/>
        </w:rPr>
        <w:t xml:space="preserve"> הרגיל הקבוע בחוק</w:t>
      </w:r>
      <w:r w:rsidRPr="00B40998">
        <w:rPr>
          <w:rFonts w:ascii="David" w:hAnsi="David"/>
          <w:noProof w:val="0"/>
          <w:rtl/>
        </w:rPr>
        <w:t>.</w:t>
      </w:r>
    </w:p>
    <w:p w:rsidR="00E07C83" w:rsidRPr="00B40998" w:rsidRDefault="006E5241" w:rsidP="00DF7B22">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שיקולי המדיניות שמציגה המשיבה גם הם נובעים משיקולי יעילות. הטענה המרכזית בהקשר זה הי</w:t>
      </w:r>
      <w:r w:rsidR="00DF7B22">
        <w:rPr>
          <w:rFonts w:ascii="David" w:hAnsi="David" w:hint="cs"/>
          <w:noProof w:val="0"/>
          <w:rtl/>
        </w:rPr>
        <w:t>א</w:t>
      </w:r>
      <w:r w:rsidR="00190D81">
        <w:rPr>
          <w:rFonts w:ascii="David" w:hAnsi="David" w:hint="cs"/>
          <w:noProof w:val="0"/>
          <w:rtl/>
        </w:rPr>
        <w:t>,</w:t>
      </w:r>
      <w:r w:rsidRPr="00B40998">
        <w:rPr>
          <w:rFonts w:ascii="David" w:hAnsi="David"/>
          <w:noProof w:val="0"/>
          <w:rtl/>
        </w:rPr>
        <w:t xml:space="preserve"> כי מתן זכות להגשת ערעור משיב פותרת את "דילמת האסיר"</w:t>
      </w:r>
      <w:r w:rsidR="00190D81">
        <w:rPr>
          <w:rFonts w:ascii="David" w:hAnsi="David" w:hint="cs"/>
          <w:noProof w:val="0"/>
          <w:rtl/>
        </w:rPr>
        <w:t>,</w:t>
      </w:r>
      <w:r w:rsidRPr="00B40998">
        <w:rPr>
          <w:rFonts w:ascii="David" w:hAnsi="David"/>
          <w:noProof w:val="0"/>
          <w:rtl/>
        </w:rPr>
        <w:t xml:space="preserve"> כמובן מונח זה בתחום המכונה 'תורת המשחקים'</w:t>
      </w:r>
      <w:r w:rsidR="00190D81">
        <w:rPr>
          <w:rFonts w:ascii="David" w:hAnsi="David" w:hint="cs"/>
          <w:noProof w:val="0"/>
          <w:rtl/>
        </w:rPr>
        <w:t>,</w:t>
      </w:r>
      <w:r w:rsidRPr="00B40998">
        <w:rPr>
          <w:rFonts w:ascii="David" w:hAnsi="David"/>
          <w:noProof w:val="0"/>
          <w:rtl/>
        </w:rPr>
        <w:t xml:space="preserve"> ומאפשרת הגעה לשווי משקל </w:t>
      </w:r>
      <w:r w:rsidRPr="00190D81">
        <w:rPr>
          <w:rFonts w:ascii="David" w:hAnsi="David"/>
          <w:b/>
          <w:bCs/>
          <w:noProof w:val="0"/>
          <w:rtl/>
        </w:rPr>
        <w:t>יעיל</w:t>
      </w:r>
      <w:r w:rsidRPr="00B40998">
        <w:rPr>
          <w:rFonts w:ascii="David" w:hAnsi="David"/>
          <w:noProof w:val="0"/>
          <w:rtl/>
        </w:rPr>
        <w:t xml:space="preserve"> יותר חברתית, ואבאר.</w:t>
      </w:r>
    </w:p>
    <w:p w:rsidR="006E5241" w:rsidRPr="00B40998" w:rsidRDefault="006E5241"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'דילמת האסיר' היא מונח מתחום תורת המשחקים, כאשר במסגרתה מוצבת לשני אסירים, אשר אינם יכולים ליצור קשר</w:t>
      </w:r>
      <w:r w:rsidR="00190D81">
        <w:rPr>
          <w:rFonts w:ascii="David" w:hAnsi="David" w:hint="cs"/>
          <w:noProof w:val="0"/>
          <w:rtl/>
        </w:rPr>
        <w:t xml:space="preserve"> ביניהם</w:t>
      </w:r>
      <w:r w:rsidRPr="00B40998">
        <w:rPr>
          <w:rFonts w:ascii="David" w:hAnsi="David"/>
          <w:noProof w:val="0"/>
          <w:rtl/>
        </w:rPr>
        <w:t>, אפשרות להודות בפשע שביצעו במשותף.</w:t>
      </w:r>
    </w:p>
    <w:p w:rsidR="00D74309" w:rsidRPr="00B40998" w:rsidRDefault="006E5241" w:rsidP="00190D81">
      <w:pPr>
        <w:pStyle w:val="ad"/>
        <w:spacing w:after="180" w:line="360" w:lineRule="auto"/>
        <w:ind w:left="652"/>
        <w:contextualSpacing w:val="0"/>
        <w:jc w:val="both"/>
        <w:rPr>
          <w:rFonts w:ascii="David" w:hAnsi="David"/>
          <w:noProof w:val="0"/>
          <w:rtl/>
        </w:rPr>
      </w:pPr>
      <w:r w:rsidRPr="00B40998">
        <w:rPr>
          <w:rFonts w:ascii="David" w:hAnsi="David"/>
          <w:noProof w:val="0"/>
          <w:rtl/>
        </w:rPr>
        <w:t>בקווים כלליים, הדילמה</w:t>
      </w:r>
      <w:r w:rsidR="00190D81">
        <w:rPr>
          <w:rFonts w:ascii="David" w:hAnsi="David" w:hint="cs"/>
          <w:noProof w:val="0"/>
          <w:rtl/>
        </w:rPr>
        <w:t xml:space="preserve"> המוצגת לאסירים הינה</w:t>
      </w:r>
      <w:r w:rsidRPr="00B40998">
        <w:rPr>
          <w:rFonts w:ascii="David" w:hAnsi="David"/>
          <w:noProof w:val="0"/>
          <w:rtl/>
        </w:rPr>
        <w:t xml:space="preserve"> -  אם אסיר אחד יודה והאחר לא, האסיר שהודה ישוחרר והאסיר שלא הודה יכלא לתקופת ממושכת. אם שני האסירים יודו יכלאו שני האסירים לתקופה בינונית, ואם שני האסירים ישתקו יכלאו שניהם</w:t>
      </w:r>
      <w:r w:rsidR="00D74309" w:rsidRPr="00B40998">
        <w:rPr>
          <w:rFonts w:ascii="David" w:hAnsi="David"/>
          <w:noProof w:val="0"/>
          <w:rtl/>
        </w:rPr>
        <w:t xml:space="preserve"> לתקופה קצרה</w:t>
      </w:r>
      <w:r w:rsidR="00190D81">
        <w:rPr>
          <w:rFonts w:ascii="David" w:hAnsi="David" w:hint="cs"/>
          <w:noProof w:val="0"/>
          <w:rtl/>
        </w:rPr>
        <w:t xml:space="preserve"> בלבד</w:t>
      </w:r>
      <w:r w:rsidR="00D74309" w:rsidRPr="00B40998">
        <w:rPr>
          <w:rFonts w:ascii="David" w:hAnsi="David"/>
          <w:noProof w:val="0"/>
          <w:rtl/>
        </w:rPr>
        <w:t>.</w:t>
      </w:r>
    </w:p>
    <w:p w:rsidR="006E5241" w:rsidRPr="00B40998" w:rsidRDefault="00190D81" w:rsidP="00190D81">
      <w:pPr>
        <w:pStyle w:val="ad"/>
        <w:spacing w:after="180" w:line="360" w:lineRule="auto"/>
        <w:ind w:left="652"/>
        <w:contextualSpacing w:val="0"/>
        <w:jc w:val="both"/>
        <w:rPr>
          <w:rFonts w:ascii="David" w:hAnsi="David"/>
          <w:noProof w:val="0"/>
          <w:rtl/>
        </w:rPr>
      </w:pPr>
      <w:r>
        <w:rPr>
          <w:rFonts w:ascii="David" w:hAnsi="David" w:hint="cs"/>
          <w:noProof w:val="0"/>
          <w:rtl/>
        </w:rPr>
        <w:t>מ</w:t>
      </w:r>
      <w:r w:rsidR="00D74309" w:rsidRPr="00B40998">
        <w:rPr>
          <w:rFonts w:ascii="David" w:hAnsi="David"/>
          <w:noProof w:val="0"/>
          <w:rtl/>
        </w:rPr>
        <w:t xml:space="preserve">כאן ברור כי האסטרטגיה </w:t>
      </w:r>
      <w:r w:rsidR="00D74309" w:rsidRPr="00190D81">
        <w:rPr>
          <w:rFonts w:ascii="David" w:hAnsi="David"/>
          <w:b/>
          <w:bCs/>
          <w:noProof w:val="0"/>
          <w:rtl/>
        </w:rPr>
        <w:t>היעילה</w:t>
      </w:r>
      <w:r w:rsidR="00D74309" w:rsidRPr="00B40998">
        <w:rPr>
          <w:rFonts w:ascii="David" w:hAnsi="David"/>
          <w:noProof w:val="0"/>
          <w:rtl/>
        </w:rPr>
        <w:t xml:space="preserve"> (מבחינת האסירים כמובן) לשני האסירים היא </w:t>
      </w:r>
      <w:r>
        <w:rPr>
          <w:rFonts w:ascii="David" w:hAnsi="David" w:hint="cs"/>
          <w:noProof w:val="0"/>
          <w:rtl/>
        </w:rPr>
        <w:t xml:space="preserve">כמובן </w:t>
      </w:r>
      <w:r w:rsidR="00D74309" w:rsidRPr="00B40998">
        <w:rPr>
          <w:rFonts w:ascii="David" w:hAnsi="David"/>
          <w:noProof w:val="0"/>
          <w:rtl/>
        </w:rPr>
        <w:t xml:space="preserve">לשתוק </w:t>
      </w:r>
      <w:r>
        <w:rPr>
          <w:rFonts w:ascii="David" w:hAnsi="David" w:hint="cs"/>
          <w:noProof w:val="0"/>
          <w:rtl/>
        </w:rPr>
        <w:t xml:space="preserve">שניהם </w:t>
      </w:r>
      <w:r w:rsidR="00D74309" w:rsidRPr="00B40998">
        <w:rPr>
          <w:rFonts w:ascii="David" w:hAnsi="David"/>
          <w:noProof w:val="0"/>
          <w:rtl/>
        </w:rPr>
        <w:t>ולהיכלא לתקופה קצרה. אולם, שווי המשקל של הדילמה הינה כי שני האסירים יודו ויכלאו לתקופה בינונית, וזאת מהחשש של כל אסיר שהצד השני יודה. שווי משקל זה</w:t>
      </w:r>
      <w:r>
        <w:rPr>
          <w:rFonts w:ascii="David" w:hAnsi="David" w:hint="cs"/>
          <w:noProof w:val="0"/>
          <w:rtl/>
        </w:rPr>
        <w:t>, כאשר כל צד נוקט באסטרטגיה דומיננטית,</w:t>
      </w:r>
      <w:r w:rsidR="00D74309" w:rsidRPr="00B40998">
        <w:rPr>
          <w:rFonts w:ascii="David" w:hAnsi="David"/>
          <w:noProof w:val="0"/>
          <w:rtl/>
        </w:rPr>
        <w:t xml:space="preserve"> נקרא </w:t>
      </w:r>
      <w:r>
        <w:rPr>
          <w:rFonts w:ascii="David" w:hAnsi="David" w:hint="cs"/>
          <w:noProof w:val="0"/>
          <w:rtl/>
        </w:rPr>
        <w:t xml:space="preserve">בעגה המקצועית </w:t>
      </w:r>
      <w:r w:rsidR="00D74309" w:rsidRPr="00B40998">
        <w:rPr>
          <w:rFonts w:ascii="David" w:hAnsi="David"/>
          <w:noProof w:val="0"/>
          <w:rtl/>
        </w:rPr>
        <w:t>'שיווי משקל נאש' וניתן להוכיחו באמצעים מתמטיים.</w:t>
      </w:r>
      <w:r w:rsidR="006E5241" w:rsidRPr="00B40998">
        <w:rPr>
          <w:rFonts w:ascii="David" w:hAnsi="David"/>
          <w:noProof w:val="0"/>
          <w:rtl/>
        </w:rPr>
        <w:t xml:space="preserve"> </w:t>
      </w:r>
    </w:p>
    <w:p w:rsidR="00D74309" w:rsidRPr="00B40998" w:rsidRDefault="00D74309" w:rsidP="00B40998">
      <w:pPr>
        <w:pStyle w:val="ad"/>
        <w:spacing w:after="180" w:line="360" w:lineRule="auto"/>
        <w:ind w:left="652"/>
        <w:contextualSpacing w:val="0"/>
        <w:jc w:val="both"/>
        <w:rPr>
          <w:rFonts w:ascii="David" w:hAnsi="David"/>
          <w:noProof w:val="0"/>
        </w:rPr>
      </w:pPr>
      <w:r w:rsidRPr="00B40998">
        <w:rPr>
          <w:rFonts w:ascii="David" w:hAnsi="David"/>
          <w:noProof w:val="0"/>
          <w:rtl/>
        </w:rPr>
        <w:lastRenderedPageBreak/>
        <w:t>עוד על דילמת האסיר</w:t>
      </w:r>
      <w:r w:rsidR="006B4330" w:rsidRPr="00B40998">
        <w:rPr>
          <w:rFonts w:ascii="David" w:hAnsi="David"/>
          <w:noProof w:val="0"/>
          <w:rtl/>
        </w:rPr>
        <w:t xml:space="preserve">, ר' אבינש דיקסיט ובארי ניילבאף, </w:t>
      </w:r>
      <w:r w:rsidR="006B4330" w:rsidRPr="00B40998">
        <w:rPr>
          <w:rFonts w:ascii="David" w:hAnsi="David"/>
          <w:b/>
          <w:bCs/>
          <w:noProof w:val="0"/>
          <w:rtl/>
        </w:rPr>
        <w:t>'תורת המשחקים'</w:t>
      </w:r>
      <w:r w:rsidR="006B4330" w:rsidRPr="00B40998">
        <w:rPr>
          <w:rFonts w:ascii="David" w:hAnsi="David"/>
          <w:noProof w:val="0"/>
          <w:rtl/>
        </w:rPr>
        <w:t xml:space="preserve"> (הוצאת ידיעות אחרונות, 2005).</w:t>
      </w:r>
    </w:p>
    <w:p w:rsidR="006B4330" w:rsidRPr="00B40998" w:rsidRDefault="006B4330" w:rsidP="00DF7B22">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במקרה שלפניי, </w:t>
      </w:r>
      <w:r w:rsidR="00190D81">
        <w:rPr>
          <w:rFonts w:ascii="David" w:hAnsi="David" w:hint="cs"/>
          <w:noProof w:val="0"/>
          <w:rtl/>
        </w:rPr>
        <w:t>'</w:t>
      </w:r>
      <w:r w:rsidRPr="00B40998">
        <w:rPr>
          <w:rFonts w:ascii="David" w:hAnsi="David"/>
          <w:noProof w:val="0"/>
          <w:rtl/>
        </w:rPr>
        <w:t>דילמת האסיר</w:t>
      </w:r>
      <w:r w:rsidR="00190D81">
        <w:rPr>
          <w:rFonts w:ascii="David" w:hAnsi="David" w:hint="cs"/>
          <w:noProof w:val="0"/>
          <w:rtl/>
        </w:rPr>
        <w:t>'</w:t>
      </w:r>
      <w:r w:rsidRPr="00B40998">
        <w:rPr>
          <w:rFonts w:ascii="David" w:hAnsi="David"/>
          <w:noProof w:val="0"/>
          <w:rtl/>
        </w:rPr>
        <w:t xml:space="preserve"> מתבטאת בסיטואציה </w:t>
      </w:r>
      <w:r w:rsidR="00190D81">
        <w:rPr>
          <w:rFonts w:ascii="David" w:hAnsi="David" w:hint="cs"/>
          <w:noProof w:val="0"/>
          <w:rtl/>
        </w:rPr>
        <w:t xml:space="preserve">האפשרית </w:t>
      </w:r>
      <w:r w:rsidRPr="00B40998">
        <w:rPr>
          <w:rFonts w:ascii="David" w:hAnsi="David"/>
          <w:noProof w:val="0"/>
          <w:rtl/>
        </w:rPr>
        <w:t xml:space="preserve">הבאה. נניח כי לאחר פסק </w:t>
      </w:r>
      <w:r w:rsidR="00DF7B22">
        <w:rPr>
          <w:rFonts w:ascii="David" w:hAnsi="David" w:hint="cs"/>
          <w:noProof w:val="0"/>
          <w:rtl/>
        </w:rPr>
        <w:t>ה</w:t>
      </w:r>
      <w:r w:rsidRPr="00B40998">
        <w:rPr>
          <w:rFonts w:ascii="David" w:hAnsi="David"/>
          <w:noProof w:val="0"/>
          <w:rtl/>
        </w:rPr>
        <w:t>דין</w:t>
      </w:r>
      <w:r w:rsidR="00190D81">
        <w:rPr>
          <w:rFonts w:ascii="David" w:hAnsi="David" w:hint="cs"/>
          <w:noProof w:val="0"/>
          <w:rtl/>
        </w:rPr>
        <w:t xml:space="preserve"> של בית המשפט לענייני משפחה</w:t>
      </w:r>
      <w:r w:rsidRPr="00B40998">
        <w:rPr>
          <w:rFonts w:ascii="David" w:hAnsi="David"/>
          <w:noProof w:val="0"/>
          <w:rtl/>
        </w:rPr>
        <w:t xml:space="preserve"> שני הצדדים</w:t>
      </w:r>
      <w:r w:rsidR="00190D81">
        <w:rPr>
          <w:rFonts w:ascii="David" w:hAnsi="David" w:hint="cs"/>
          <w:noProof w:val="0"/>
          <w:rtl/>
        </w:rPr>
        <w:t xml:space="preserve"> להליך</w:t>
      </w:r>
      <w:r w:rsidR="00DF7B22">
        <w:rPr>
          <w:rFonts w:ascii="David" w:hAnsi="David" w:hint="cs"/>
          <w:noProof w:val="0"/>
          <w:rtl/>
        </w:rPr>
        <w:t xml:space="preserve"> אומרים </w:t>
      </w:r>
      <w:r w:rsidRPr="00B40998">
        <w:rPr>
          <w:rFonts w:ascii="David" w:hAnsi="David"/>
          <w:noProof w:val="0"/>
          <w:rtl/>
        </w:rPr>
        <w:t xml:space="preserve">לעורך הדין שלהם </w:t>
      </w:r>
      <w:r w:rsidR="00DF7B22">
        <w:rPr>
          <w:rFonts w:ascii="David" w:hAnsi="David" w:hint="cs"/>
          <w:noProof w:val="0"/>
          <w:rtl/>
        </w:rPr>
        <w:t>-</w:t>
      </w:r>
      <w:r w:rsidRPr="00B40998">
        <w:rPr>
          <w:rFonts w:ascii="David" w:hAnsi="David"/>
          <w:noProof w:val="0"/>
          <w:rtl/>
        </w:rPr>
        <w:t xml:space="preserve"> </w:t>
      </w:r>
      <w:r w:rsidR="00190D81">
        <w:rPr>
          <w:rFonts w:ascii="David" w:hAnsi="David" w:hint="cs"/>
          <w:noProof w:val="0"/>
          <w:rtl/>
        </w:rPr>
        <w:t>'</w:t>
      </w:r>
      <w:r w:rsidRPr="00B40998">
        <w:rPr>
          <w:rFonts w:ascii="David" w:hAnsi="David"/>
          <w:noProof w:val="0"/>
          <w:rtl/>
        </w:rPr>
        <w:t xml:space="preserve">בסך הכול אני שלם עם פסק הדין ולא רוצה להגיש ערעור, אבל אם הצד שכנגד יגיש ערעור, </w:t>
      </w:r>
      <w:r w:rsidR="006C4F34" w:rsidRPr="00B40998">
        <w:rPr>
          <w:rFonts w:ascii="David" w:hAnsi="David"/>
          <w:noProof w:val="0"/>
          <w:rtl/>
        </w:rPr>
        <w:t>אז גם אני ארצה לערער</w:t>
      </w:r>
      <w:r w:rsidR="00190D81">
        <w:rPr>
          <w:rFonts w:ascii="David" w:hAnsi="David" w:hint="cs"/>
          <w:noProof w:val="0"/>
          <w:rtl/>
        </w:rPr>
        <w:t>'</w:t>
      </w:r>
      <w:r w:rsidR="006C4F34" w:rsidRPr="00B40998">
        <w:rPr>
          <w:rFonts w:ascii="David" w:hAnsi="David"/>
          <w:noProof w:val="0"/>
          <w:rtl/>
        </w:rPr>
        <w:t>.</w:t>
      </w:r>
    </w:p>
    <w:p w:rsidR="006C4F34" w:rsidRPr="00B40998" w:rsidRDefault="006C4F34"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כעת נבחן את התוצאה של דילמה זו</w:t>
      </w:r>
      <w:r w:rsidR="00190D81">
        <w:rPr>
          <w:rFonts w:ascii="David" w:hAnsi="David" w:hint="cs"/>
          <w:noProof w:val="0"/>
          <w:rtl/>
        </w:rPr>
        <w:t xml:space="preserve"> שמציבים המתדיינים</w:t>
      </w:r>
      <w:r w:rsidRPr="00B40998">
        <w:rPr>
          <w:rFonts w:ascii="David" w:hAnsi="David"/>
          <w:noProof w:val="0"/>
          <w:rtl/>
        </w:rPr>
        <w:t xml:space="preserve"> לפי שתי הפרשנויות</w:t>
      </w:r>
      <w:r w:rsidR="00190D81">
        <w:rPr>
          <w:rFonts w:ascii="David" w:hAnsi="David" w:hint="cs"/>
          <w:noProof w:val="0"/>
          <w:rtl/>
        </w:rPr>
        <w:t xml:space="preserve"> המוצעות</w:t>
      </w:r>
      <w:r w:rsidRPr="00B40998">
        <w:rPr>
          <w:rFonts w:ascii="David" w:hAnsi="David"/>
          <w:noProof w:val="0"/>
          <w:rtl/>
        </w:rPr>
        <w:t>.</w:t>
      </w:r>
    </w:p>
    <w:p w:rsidR="006C4F34" w:rsidRPr="00B40998" w:rsidRDefault="006C4F34" w:rsidP="00DF7B22">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בהתאם לפרשנות המשיבה, כל אחד מהצדדים יכול להמתין עד שהצד האחר יגיש </w:t>
      </w:r>
      <w:r w:rsidR="00190D81">
        <w:rPr>
          <w:rFonts w:ascii="David" w:hAnsi="David" w:hint="cs"/>
          <w:noProof w:val="0"/>
          <w:rtl/>
        </w:rPr>
        <w:t xml:space="preserve">או לא יגיש </w:t>
      </w:r>
      <w:r w:rsidRPr="00B40998">
        <w:rPr>
          <w:rFonts w:ascii="David" w:hAnsi="David"/>
          <w:noProof w:val="0"/>
          <w:rtl/>
        </w:rPr>
        <w:t>ערעור, ואז</w:t>
      </w:r>
      <w:r w:rsidR="00190D81">
        <w:rPr>
          <w:rFonts w:ascii="David" w:hAnsi="David" w:hint="cs"/>
          <w:noProof w:val="0"/>
          <w:rtl/>
        </w:rPr>
        <w:t xml:space="preserve"> אם לא יגיש, לא קרה דבר, ואם יגיש,</w:t>
      </w:r>
      <w:r w:rsidRPr="00B40998">
        <w:rPr>
          <w:rFonts w:ascii="David" w:hAnsi="David"/>
          <w:noProof w:val="0"/>
          <w:rtl/>
        </w:rPr>
        <w:t xml:space="preserve"> נשמרת זכותו להגיש ערעור משיב. לפיכך, </w:t>
      </w:r>
      <w:r w:rsidR="00190D81">
        <w:rPr>
          <w:rFonts w:ascii="David" w:hAnsi="David" w:hint="cs"/>
          <w:noProof w:val="0"/>
          <w:rtl/>
        </w:rPr>
        <w:t xml:space="preserve">במקרה שכזה, בדוגמא </w:t>
      </w:r>
      <w:r w:rsidR="00841346">
        <w:rPr>
          <w:rFonts w:ascii="David" w:hAnsi="David" w:hint="cs"/>
          <w:noProof w:val="0"/>
          <w:rtl/>
        </w:rPr>
        <w:t xml:space="preserve">לעיל, כלל </w:t>
      </w:r>
      <w:r w:rsidRPr="00B40998">
        <w:rPr>
          <w:rFonts w:ascii="David" w:hAnsi="David"/>
          <w:noProof w:val="0"/>
          <w:rtl/>
        </w:rPr>
        <w:t>לא יוגשו ערעורים מטעם הצדדים והתיק יסתיים.</w:t>
      </w:r>
      <w:r w:rsidR="00DF7B22">
        <w:rPr>
          <w:rFonts w:ascii="David" w:hAnsi="David" w:hint="cs"/>
          <w:noProof w:val="0"/>
          <w:rtl/>
        </w:rPr>
        <w:t xml:space="preserve"> כלומר 'דילמת האסיר' של המתדיינים נפתרה בצורה יעילה.</w:t>
      </w:r>
    </w:p>
    <w:p w:rsidR="006C4F34" w:rsidRPr="00B40998" w:rsidRDefault="00841346" w:rsidP="00561E6D">
      <w:pPr>
        <w:pStyle w:val="ad"/>
        <w:spacing w:after="180" w:line="360" w:lineRule="auto"/>
        <w:ind w:left="652"/>
        <w:contextualSpacing w:val="0"/>
        <w:jc w:val="both"/>
        <w:rPr>
          <w:rFonts w:ascii="David" w:hAnsi="David"/>
          <w:noProof w:val="0"/>
          <w:rtl/>
        </w:rPr>
      </w:pPr>
      <w:r>
        <w:rPr>
          <w:rFonts w:ascii="David" w:hAnsi="David" w:hint="cs"/>
          <w:noProof w:val="0"/>
          <w:rtl/>
        </w:rPr>
        <w:t xml:space="preserve">לעומת זאת, </w:t>
      </w:r>
      <w:r w:rsidR="006C4F34" w:rsidRPr="00B40998">
        <w:rPr>
          <w:rFonts w:ascii="David" w:hAnsi="David"/>
          <w:noProof w:val="0"/>
          <w:rtl/>
        </w:rPr>
        <w:t>בהתאם לפרשנות המערער</w:t>
      </w:r>
      <w:r>
        <w:rPr>
          <w:rFonts w:ascii="David" w:hAnsi="David" w:hint="cs"/>
          <w:noProof w:val="0"/>
          <w:rtl/>
        </w:rPr>
        <w:t xml:space="preserve"> לתקנות</w:t>
      </w:r>
      <w:r w:rsidR="006C4F34" w:rsidRPr="00B40998">
        <w:rPr>
          <w:rFonts w:ascii="David" w:hAnsi="David"/>
          <w:noProof w:val="0"/>
          <w:rtl/>
        </w:rPr>
        <w:t>, כל צד יחשוש שמה הצד השני יגיש ערעור ביום האחרון, ואז</w:t>
      </w:r>
      <w:r w:rsidR="00DF7B22">
        <w:rPr>
          <w:rFonts w:ascii="David" w:hAnsi="David" w:hint="cs"/>
          <w:noProof w:val="0"/>
          <w:rtl/>
        </w:rPr>
        <w:t>, בהתאם לפרשנות המערער,</w:t>
      </w:r>
      <w:r w:rsidR="006C4F34" w:rsidRPr="00B40998">
        <w:rPr>
          <w:rFonts w:ascii="David" w:hAnsi="David"/>
          <w:noProof w:val="0"/>
          <w:rtl/>
        </w:rPr>
        <w:t xml:space="preserve"> אין </w:t>
      </w:r>
      <w:r w:rsidR="00DF7B22">
        <w:rPr>
          <w:rFonts w:ascii="David" w:hAnsi="David" w:hint="cs"/>
          <w:noProof w:val="0"/>
          <w:rtl/>
        </w:rPr>
        <w:t>ל</w:t>
      </w:r>
      <w:r w:rsidR="00561E6D">
        <w:rPr>
          <w:rFonts w:ascii="David" w:hAnsi="David" w:hint="cs"/>
          <w:noProof w:val="0"/>
          <w:rtl/>
        </w:rPr>
        <w:t xml:space="preserve">צד זה </w:t>
      </w:r>
      <w:r w:rsidR="006C4F34" w:rsidRPr="00B40998">
        <w:rPr>
          <w:rFonts w:ascii="David" w:hAnsi="David"/>
          <w:noProof w:val="0"/>
          <w:rtl/>
        </w:rPr>
        <w:t>זכות להגשת ערעור משיב מטעמו</w:t>
      </w:r>
      <w:r>
        <w:rPr>
          <w:rFonts w:ascii="David" w:hAnsi="David" w:hint="cs"/>
          <w:noProof w:val="0"/>
          <w:rtl/>
        </w:rPr>
        <w:t>.</w:t>
      </w:r>
      <w:r w:rsidR="006C4F34" w:rsidRPr="00B40998">
        <w:rPr>
          <w:rFonts w:ascii="David" w:hAnsi="David"/>
          <w:noProof w:val="0"/>
          <w:rtl/>
        </w:rPr>
        <w:t xml:space="preserve"> לפיכך, ובהתאם לשיווי משקל נאש, שני הצדדים ינקטו באסטרטגיה דומיננטית ויגישו ערעור</w:t>
      </w:r>
      <w:r>
        <w:rPr>
          <w:rFonts w:ascii="David" w:hAnsi="David" w:hint="cs"/>
          <w:noProof w:val="0"/>
          <w:rtl/>
        </w:rPr>
        <w:t xml:space="preserve"> מטעמם</w:t>
      </w:r>
      <w:r w:rsidR="006C4F34" w:rsidRPr="00B40998">
        <w:rPr>
          <w:rFonts w:ascii="David" w:hAnsi="David"/>
          <w:noProof w:val="0"/>
          <w:rtl/>
        </w:rPr>
        <w:t>, למרות שאילו היו יודעים שהצד שכנגד לא מתכוון להגיש ערעור לא היו מגישים אותו.</w:t>
      </w:r>
    </w:p>
    <w:p w:rsidR="006C4F34" w:rsidRPr="00B40998" w:rsidRDefault="006C4F34" w:rsidP="006B20B7">
      <w:pPr>
        <w:pStyle w:val="ad"/>
        <w:spacing w:after="180" w:line="360" w:lineRule="auto"/>
        <w:ind w:left="652"/>
        <w:contextualSpacing w:val="0"/>
        <w:jc w:val="both"/>
        <w:rPr>
          <w:rFonts w:ascii="David" w:hAnsi="David"/>
          <w:noProof w:val="0"/>
        </w:rPr>
      </w:pPr>
      <w:r w:rsidRPr="00B40998">
        <w:rPr>
          <w:rFonts w:ascii="David" w:hAnsi="David"/>
          <w:noProof w:val="0"/>
          <w:rtl/>
        </w:rPr>
        <w:t>כך, שבהתאם לפרשנות המערער, במקום בו לא היו אמור להיות הליך נוסף</w:t>
      </w:r>
      <w:r w:rsidR="00841346">
        <w:rPr>
          <w:rFonts w:ascii="David" w:hAnsi="David" w:hint="cs"/>
          <w:noProof w:val="0"/>
          <w:rtl/>
        </w:rPr>
        <w:t xml:space="preserve"> כלל</w:t>
      </w:r>
      <w:r w:rsidRPr="00B40998">
        <w:rPr>
          <w:rFonts w:ascii="David" w:hAnsi="David"/>
          <w:noProof w:val="0"/>
          <w:rtl/>
        </w:rPr>
        <w:t>, נקבל שני ערעורים, דבר שעומד בסתירה ל</w:t>
      </w:r>
      <w:r w:rsidR="00841346">
        <w:rPr>
          <w:rFonts w:ascii="David" w:hAnsi="David" w:hint="cs"/>
          <w:noProof w:val="0"/>
          <w:rtl/>
        </w:rPr>
        <w:t>רציונל המבקש</w:t>
      </w:r>
      <w:r w:rsidRPr="00B40998">
        <w:rPr>
          <w:rFonts w:ascii="David" w:hAnsi="David"/>
          <w:noProof w:val="0"/>
          <w:rtl/>
        </w:rPr>
        <w:t xml:space="preserve"> לייעל את ההליכים בענייני משפחה.</w:t>
      </w:r>
    </w:p>
    <w:p w:rsidR="00A831D1" w:rsidRPr="00B40998" w:rsidRDefault="006C4F34"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אציין</w:t>
      </w:r>
      <w:r w:rsidR="00841346">
        <w:rPr>
          <w:rFonts w:ascii="David" w:hAnsi="David" w:hint="cs"/>
          <w:noProof w:val="0"/>
          <w:rtl/>
        </w:rPr>
        <w:t>,</w:t>
      </w:r>
      <w:r w:rsidRPr="00B40998">
        <w:rPr>
          <w:rFonts w:ascii="David" w:hAnsi="David"/>
          <w:noProof w:val="0"/>
          <w:rtl/>
        </w:rPr>
        <w:t xml:space="preserve"> כי רעיון זה "לפתור" את דילמת האסיר </w:t>
      </w:r>
      <w:r w:rsidR="00841346">
        <w:rPr>
          <w:rFonts w:ascii="David" w:hAnsi="David" w:hint="cs"/>
          <w:noProof w:val="0"/>
          <w:rtl/>
        </w:rPr>
        <w:t xml:space="preserve">בהגשת ערעור </w:t>
      </w:r>
      <w:r w:rsidRPr="00B40998">
        <w:rPr>
          <w:rFonts w:ascii="David" w:hAnsi="David"/>
          <w:noProof w:val="0"/>
          <w:rtl/>
        </w:rPr>
        <w:t xml:space="preserve">עמד בבסיס מוסד </w:t>
      </w:r>
      <w:r w:rsidR="00841346">
        <w:rPr>
          <w:rFonts w:ascii="David" w:hAnsi="David" w:hint="cs"/>
          <w:noProof w:val="0"/>
          <w:rtl/>
        </w:rPr>
        <w:t>'</w:t>
      </w:r>
      <w:r w:rsidRPr="00B40998">
        <w:rPr>
          <w:rFonts w:ascii="David" w:hAnsi="David"/>
          <w:noProof w:val="0"/>
          <w:rtl/>
        </w:rPr>
        <w:t>ערעור המשיב</w:t>
      </w:r>
      <w:r w:rsidR="00841346">
        <w:rPr>
          <w:rFonts w:ascii="David" w:hAnsi="David" w:hint="cs"/>
          <w:noProof w:val="0"/>
          <w:rtl/>
        </w:rPr>
        <w:t>'</w:t>
      </w:r>
      <w:r w:rsidRPr="00B40998">
        <w:rPr>
          <w:rFonts w:ascii="David" w:hAnsi="David"/>
          <w:noProof w:val="0"/>
          <w:rtl/>
        </w:rPr>
        <w:t xml:space="preserve"> בתקנות סדר הדין האזרחי החדשות, כפי שעולה מדבר</w:t>
      </w:r>
      <w:r w:rsidR="000B73FC">
        <w:rPr>
          <w:rFonts w:ascii="David" w:hAnsi="David" w:hint="cs"/>
          <w:noProof w:val="0"/>
          <w:rtl/>
        </w:rPr>
        <w:t>י</w:t>
      </w:r>
      <w:r w:rsidRPr="00B40998">
        <w:rPr>
          <w:rFonts w:ascii="David" w:hAnsi="David"/>
          <w:noProof w:val="0"/>
          <w:rtl/>
        </w:rPr>
        <w:t xml:space="preserve"> ההסבר להן, ואצטט:</w:t>
      </w:r>
    </w:p>
    <w:p w:rsidR="006C4F34" w:rsidRPr="00B40998" w:rsidRDefault="001435B5" w:rsidP="00A201C8">
      <w:pPr>
        <w:pStyle w:val="ad"/>
        <w:spacing w:after="180" w:line="360" w:lineRule="auto"/>
        <w:ind w:left="1134" w:right="567"/>
        <w:contextualSpacing w:val="0"/>
        <w:jc w:val="both"/>
        <w:rPr>
          <w:rFonts w:ascii="David" w:hAnsi="David"/>
          <w:b/>
          <w:bCs/>
          <w:noProof w:val="0"/>
        </w:rPr>
      </w:pPr>
      <w:r w:rsidRPr="00B40998">
        <w:rPr>
          <w:rFonts w:ascii="David" w:hAnsi="David"/>
          <w:b/>
          <w:bCs/>
          <w:noProof w:val="0"/>
          <w:rtl/>
        </w:rPr>
        <w:t xml:space="preserve">"בהתאם להסדר שנקבע, למשיבים בערעור העיקרי יתאפשר להגיש "ערעור רגיל" במובן זה שמשהוגש ערעור "עיקרי" יוארך למשיבים (שלא הגישו ערעור) המועד להגיש ערעור משלהם, </w:t>
      </w:r>
      <w:r w:rsidRPr="00561E6D">
        <w:rPr>
          <w:rFonts w:ascii="David" w:hAnsi="David"/>
          <w:b/>
          <w:bCs/>
          <w:noProof w:val="0"/>
          <w:u w:val="single"/>
          <w:rtl/>
        </w:rPr>
        <w:t>ותימנע "דילמת האסיר".</w:t>
      </w:r>
      <w:r w:rsidRPr="00B40998">
        <w:rPr>
          <w:rFonts w:ascii="David" w:hAnsi="David"/>
          <w:b/>
          <w:bCs/>
          <w:noProof w:val="0"/>
          <w:rtl/>
        </w:rPr>
        <w:t xml:space="preserve"> אין מדובר אפוא ב"ערעור שכנגד" במשמעותו דהיום, אלא בערעור "רגיל" נוסף, שניתן להגישו על אותה החלטה, על החלטות ביניים שנבלעו בה, לרבות בנושאים שאינם קשורים לערעור שהוגש קודם לכן."</w:t>
      </w:r>
      <w:r w:rsidR="00561E6D" w:rsidRPr="00561E6D">
        <w:rPr>
          <w:rFonts w:ascii="David" w:hAnsi="David" w:hint="cs"/>
          <w:noProof w:val="0"/>
          <w:rtl/>
        </w:rPr>
        <w:t xml:space="preserve"> (הדגשה אינה במקור – ג.ה).</w:t>
      </w:r>
      <w:r w:rsidR="00561E6D">
        <w:rPr>
          <w:rFonts w:ascii="David" w:hAnsi="David" w:hint="cs"/>
          <w:b/>
          <w:bCs/>
          <w:noProof w:val="0"/>
          <w:rtl/>
        </w:rPr>
        <w:t xml:space="preserve"> </w:t>
      </w:r>
    </w:p>
    <w:p w:rsidR="001941FB" w:rsidRPr="00B40998" w:rsidRDefault="001941FB" w:rsidP="00561E6D">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שיקול נוסף </w:t>
      </w:r>
      <w:r w:rsidR="00841346">
        <w:rPr>
          <w:rFonts w:ascii="David" w:hAnsi="David" w:hint="cs"/>
          <w:noProof w:val="0"/>
          <w:rtl/>
        </w:rPr>
        <w:t>התומך בפרשנות המשיבה ה</w:t>
      </w:r>
      <w:r w:rsidR="00561E6D">
        <w:rPr>
          <w:rFonts w:ascii="David" w:hAnsi="David" w:hint="cs"/>
          <w:noProof w:val="0"/>
          <w:rtl/>
        </w:rPr>
        <w:t>וא</w:t>
      </w:r>
      <w:r w:rsidR="00841346">
        <w:rPr>
          <w:rFonts w:ascii="David" w:hAnsi="David" w:hint="cs"/>
          <w:noProof w:val="0"/>
          <w:rtl/>
        </w:rPr>
        <w:t>,</w:t>
      </w:r>
      <w:r w:rsidRPr="00B40998">
        <w:rPr>
          <w:rFonts w:ascii="David" w:hAnsi="David"/>
          <w:noProof w:val="0"/>
          <w:rtl/>
        </w:rPr>
        <w:t xml:space="preserve"> כי קבלת פרשנות המערער מהווה תמריץ להגש</w:t>
      </w:r>
      <w:r w:rsidR="00841346">
        <w:rPr>
          <w:rFonts w:ascii="David" w:hAnsi="David" w:hint="cs"/>
          <w:noProof w:val="0"/>
          <w:rtl/>
        </w:rPr>
        <w:t>ת</w:t>
      </w:r>
      <w:r w:rsidRPr="00B40998">
        <w:rPr>
          <w:rFonts w:ascii="David" w:hAnsi="David"/>
          <w:noProof w:val="0"/>
          <w:rtl/>
        </w:rPr>
        <w:t xml:space="preserve"> הערעור מאוחר ככל הניתן, ובמידת האפשר ביום האחרון, וזאת על מנת שלא לאפשר לצד שכנגד להגיש ערעור מטעמ</w:t>
      </w:r>
      <w:r w:rsidR="00841346">
        <w:rPr>
          <w:rFonts w:ascii="David" w:hAnsi="David" w:hint="cs"/>
          <w:noProof w:val="0"/>
          <w:rtl/>
        </w:rPr>
        <w:t>ו</w:t>
      </w:r>
      <w:r w:rsidRPr="00B40998">
        <w:rPr>
          <w:rFonts w:ascii="David" w:hAnsi="David"/>
          <w:noProof w:val="0"/>
          <w:rtl/>
        </w:rPr>
        <w:t xml:space="preserve"> במסגרת סד הזמנים הרגיל להגשת ערעור.</w:t>
      </w:r>
    </w:p>
    <w:p w:rsidR="001941FB" w:rsidRPr="00B40998" w:rsidRDefault="001941FB"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lastRenderedPageBreak/>
        <w:t xml:space="preserve">בחינת שיקולי המדיניות </w:t>
      </w:r>
      <w:r w:rsidR="00841346">
        <w:rPr>
          <w:rFonts w:ascii="David" w:hAnsi="David" w:hint="cs"/>
          <w:noProof w:val="0"/>
          <w:rtl/>
        </w:rPr>
        <w:t xml:space="preserve">שהצגתי לעיל </w:t>
      </w:r>
      <w:r w:rsidRPr="00B40998">
        <w:rPr>
          <w:rFonts w:ascii="David" w:hAnsi="David"/>
          <w:noProof w:val="0"/>
          <w:rtl/>
        </w:rPr>
        <w:t>האחד אל מול משנהו אינה מגלה עדיפות נחרצת לשיקול זה או אחר, ובוודאי שלא עדיפות המאפשרת פרשנות שלא בהתאם ללשון החוק ושלא לפי דברי ההסבר.</w:t>
      </w:r>
    </w:p>
    <w:p w:rsidR="001941FB" w:rsidRPr="00B40998" w:rsidRDefault="001941FB" w:rsidP="00561E6D">
      <w:pPr>
        <w:pStyle w:val="ad"/>
        <w:spacing w:after="180" w:line="360" w:lineRule="auto"/>
        <w:ind w:left="652"/>
        <w:contextualSpacing w:val="0"/>
        <w:jc w:val="both"/>
        <w:rPr>
          <w:rFonts w:ascii="David" w:hAnsi="David"/>
          <w:noProof w:val="0"/>
          <w:rtl/>
        </w:rPr>
      </w:pPr>
      <w:r w:rsidRPr="00B40998">
        <w:rPr>
          <w:rFonts w:ascii="David" w:hAnsi="David"/>
          <w:noProof w:val="0"/>
          <w:rtl/>
        </w:rPr>
        <w:t>כפי שהוסבר לעיל</w:t>
      </w:r>
      <w:r w:rsidR="000B73FC">
        <w:rPr>
          <w:rFonts w:ascii="David" w:hAnsi="David" w:hint="cs"/>
          <w:noProof w:val="0"/>
          <w:rtl/>
        </w:rPr>
        <w:t>,</w:t>
      </w:r>
      <w:r w:rsidRPr="00B40998">
        <w:rPr>
          <w:rFonts w:ascii="David" w:hAnsi="David"/>
          <w:noProof w:val="0"/>
          <w:rtl/>
        </w:rPr>
        <w:t xml:space="preserve"> קיימים יתרונות וחסרונות לשתי הפרשנויות, כך פרשנות המערער יוצרת תיחום של המועדים להגשת ערעורים ומאפשרת קיצור מועדי הד</w:t>
      </w:r>
      <w:r w:rsidR="00CD4B82">
        <w:rPr>
          <w:rFonts w:ascii="David" w:hAnsi="David"/>
          <w:noProof w:val="0"/>
          <w:rtl/>
        </w:rPr>
        <w:t>יון בערעור</w:t>
      </w:r>
      <w:r w:rsidR="00CD4B82">
        <w:rPr>
          <w:rFonts w:ascii="David" w:hAnsi="David" w:hint="cs"/>
          <w:noProof w:val="0"/>
          <w:rtl/>
        </w:rPr>
        <w:t>.</w:t>
      </w:r>
      <w:r w:rsidRPr="00B40998">
        <w:rPr>
          <w:rFonts w:ascii="David" w:hAnsi="David"/>
          <w:noProof w:val="0"/>
          <w:rtl/>
        </w:rPr>
        <w:t xml:space="preserve"> וכך, ומ</w:t>
      </w:r>
      <w:r w:rsidR="00CD4B82">
        <w:rPr>
          <w:rFonts w:ascii="David" w:hAnsi="David" w:hint="cs"/>
          <w:noProof w:val="0"/>
          <w:rtl/>
        </w:rPr>
        <w:t>ה</w:t>
      </w:r>
      <w:r w:rsidRPr="00B40998">
        <w:rPr>
          <w:rFonts w:ascii="David" w:hAnsi="David"/>
          <w:noProof w:val="0"/>
          <w:rtl/>
        </w:rPr>
        <w:t>צד שני, פרשנות המשיב</w:t>
      </w:r>
      <w:r w:rsidR="000B73FC">
        <w:rPr>
          <w:rFonts w:ascii="David" w:hAnsi="David" w:hint="cs"/>
          <w:noProof w:val="0"/>
          <w:rtl/>
        </w:rPr>
        <w:t>ה</w:t>
      </w:r>
      <w:r w:rsidRPr="00B40998">
        <w:rPr>
          <w:rFonts w:ascii="David" w:hAnsi="David"/>
          <w:noProof w:val="0"/>
          <w:rtl/>
        </w:rPr>
        <w:t xml:space="preserve"> מונעת הגשת ערעורי סרק </w:t>
      </w:r>
      <w:r w:rsidR="00CD4B82">
        <w:rPr>
          <w:rFonts w:ascii="David" w:hAnsi="David" w:hint="cs"/>
          <w:noProof w:val="0"/>
          <w:rtl/>
        </w:rPr>
        <w:t xml:space="preserve">הנובעים </w:t>
      </w:r>
      <w:r w:rsidRPr="00B40998">
        <w:rPr>
          <w:rFonts w:ascii="David" w:hAnsi="David"/>
          <w:noProof w:val="0"/>
          <w:rtl/>
        </w:rPr>
        <w:t>מ</w:t>
      </w:r>
      <w:r w:rsidR="00CD4B82">
        <w:rPr>
          <w:rFonts w:ascii="David" w:hAnsi="David" w:hint="cs"/>
          <w:noProof w:val="0"/>
          <w:rtl/>
        </w:rPr>
        <w:t>-</w:t>
      </w:r>
      <w:r w:rsidRPr="00B40998">
        <w:rPr>
          <w:rFonts w:ascii="David" w:hAnsi="David"/>
          <w:noProof w:val="0"/>
          <w:rtl/>
        </w:rPr>
        <w:t>'דילמת אסיר' ו</w:t>
      </w:r>
      <w:r w:rsidR="00CD4B82">
        <w:rPr>
          <w:rFonts w:ascii="David" w:hAnsi="David" w:hint="cs"/>
          <w:noProof w:val="0"/>
          <w:rtl/>
        </w:rPr>
        <w:t xml:space="preserve">כן </w:t>
      </w:r>
      <w:r w:rsidR="00561E6D">
        <w:rPr>
          <w:rFonts w:ascii="David" w:hAnsi="David" w:hint="cs"/>
          <w:noProof w:val="0"/>
          <w:rtl/>
        </w:rPr>
        <w:t>מקטינה את התמריץ</w:t>
      </w:r>
      <w:r w:rsidRPr="00B40998">
        <w:rPr>
          <w:rFonts w:ascii="David" w:hAnsi="David"/>
          <w:noProof w:val="0"/>
          <w:rtl/>
        </w:rPr>
        <w:t xml:space="preserve"> </w:t>
      </w:r>
      <w:r w:rsidR="00561E6D">
        <w:rPr>
          <w:rFonts w:ascii="David" w:hAnsi="David" w:hint="cs"/>
          <w:noProof w:val="0"/>
          <w:rtl/>
        </w:rPr>
        <w:t>ל</w:t>
      </w:r>
      <w:r w:rsidRPr="00B40998">
        <w:rPr>
          <w:rFonts w:ascii="David" w:hAnsi="David"/>
          <w:noProof w:val="0"/>
          <w:rtl/>
        </w:rPr>
        <w:t>הגשת ערעורים ברגע האחרון.</w:t>
      </w:r>
    </w:p>
    <w:p w:rsidR="001941FB" w:rsidRPr="00B40998" w:rsidRDefault="001941FB" w:rsidP="00B40998">
      <w:pPr>
        <w:pStyle w:val="ad"/>
        <w:spacing w:after="180" w:line="360" w:lineRule="auto"/>
        <w:ind w:left="652"/>
        <w:contextualSpacing w:val="0"/>
        <w:jc w:val="both"/>
        <w:rPr>
          <w:rFonts w:ascii="David" w:hAnsi="David"/>
          <w:noProof w:val="0"/>
        </w:rPr>
      </w:pPr>
      <w:r w:rsidRPr="00B40998">
        <w:rPr>
          <w:rFonts w:ascii="David" w:hAnsi="David"/>
          <w:noProof w:val="0"/>
          <w:rtl/>
        </w:rPr>
        <w:t>בנסיבות אלו בחירת מחוקק המשנה להעדיף שיקול</w:t>
      </w:r>
      <w:r w:rsidR="00DF0C36" w:rsidRPr="00B40998">
        <w:rPr>
          <w:rFonts w:ascii="David" w:hAnsi="David"/>
          <w:noProof w:val="0"/>
          <w:rtl/>
        </w:rPr>
        <w:t xml:space="preserve"> מדיניות מסוים על </w:t>
      </w:r>
      <w:r w:rsidR="00CD4B82">
        <w:rPr>
          <w:rFonts w:ascii="David" w:hAnsi="David" w:hint="cs"/>
          <w:noProof w:val="0"/>
          <w:rtl/>
        </w:rPr>
        <w:t xml:space="preserve">פניי </w:t>
      </w:r>
      <w:r w:rsidR="00DF0C36" w:rsidRPr="00B40998">
        <w:rPr>
          <w:rFonts w:ascii="David" w:hAnsi="David"/>
          <w:noProof w:val="0"/>
          <w:rtl/>
        </w:rPr>
        <w:t>השיקול האחר, הינה סבירה, לגיטימית והגיונית ואין מקום לבחור בפרשנות המנוגדת לה.</w:t>
      </w:r>
    </w:p>
    <w:p w:rsidR="00CD4B82" w:rsidRDefault="00DF0C36"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עוד חשוב לציין בהקשר זה, כי אכן בעיית 'דילמת האסיר' הינה בעיה אמיתית, אשר יש לה פתרון בפרשנות המשיבה</w:t>
      </w:r>
      <w:r w:rsidR="00561E6D">
        <w:rPr>
          <w:rFonts w:ascii="David" w:hAnsi="David" w:hint="cs"/>
          <w:noProof w:val="0"/>
          <w:rtl/>
        </w:rPr>
        <w:t xml:space="preserve"> לתקנות</w:t>
      </w:r>
      <w:r w:rsidRPr="00B40998">
        <w:rPr>
          <w:rFonts w:ascii="David" w:hAnsi="David"/>
          <w:noProof w:val="0"/>
          <w:rtl/>
        </w:rPr>
        <w:t>, אולם זה אינו הפתרון היחיד</w:t>
      </w:r>
      <w:r w:rsidR="00CD4B82">
        <w:rPr>
          <w:rFonts w:ascii="David" w:hAnsi="David" w:hint="cs"/>
          <w:noProof w:val="0"/>
          <w:rtl/>
        </w:rPr>
        <w:t xml:space="preserve"> האפשרי</w:t>
      </w:r>
      <w:r w:rsidRPr="00B40998">
        <w:rPr>
          <w:rFonts w:ascii="David" w:hAnsi="David"/>
          <w:noProof w:val="0"/>
          <w:rtl/>
        </w:rPr>
        <w:t>.</w:t>
      </w:r>
    </w:p>
    <w:p w:rsidR="00DF0C36" w:rsidRPr="00B40998" w:rsidRDefault="00DF0C36" w:rsidP="00CD4B82">
      <w:pPr>
        <w:pStyle w:val="ad"/>
        <w:spacing w:after="180" w:line="360" w:lineRule="auto"/>
        <w:ind w:left="652"/>
        <w:contextualSpacing w:val="0"/>
        <w:jc w:val="both"/>
        <w:rPr>
          <w:rFonts w:ascii="David" w:hAnsi="David"/>
          <w:noProof w:val="0"/>
        </w:rPr>
      </w:pPr>
      <w:r w:rsidRPr="00B40998">
        <w:rPr>
          <w:rFonts w:ascii="David" w:hAnsi="David"/>
          <w:noProof w:val="0"/>
          <w:rtl/>
        </w:rPr>
        <w:t>בניגוד לאסירים בדילמת האסיר</w:t>
      </w:r>
      <w:r w:rsidR="00DA640A">
        <w:rPr>
          <w:rFonts w:ascii="David" w:hAnsi="David" w:hint="cs"/>
          <w:noProof w:val="0"/>
          <w:rtl/>
        </w:rPr>
        <w:t>, אסירים</w:t>
      </w:r>
      <w:r w:rsidRPr="00B40998">
        <w:rPr>
          <w:rFonts w:ascii="David" w:hAnsi="David"/>
          <w:noProof w:val="0"/>
          <w:rtl/>
        </w:rPr>
        <w:t xml:space="preserve"> אשר אסור להם לתקשר ביניהם, הצדדים למשפט בענייני משפחה </w:t>
      </w:r>
      <w:r w:rsidRPr="00DA640A">
        <w:rPr>
          <w:rFonts w:ascii="David" w:hAnsi="David"/>
          <w:b/>
          <w:bCs/>
          <w:noProof w:val="0"/>
          <w:rtl/>
        </w:rPr>
        <w:t>אינם</w:t>
      </w:r>
      <w:r w:rsidRPr="00B40998">
        <w:rPr>
          <w:rFonts w:ascii="David" w:hAnsi="David"/>
          <w:noProof w:val="0"/>
          <w:rtl/>
        </w:rPr>
        <w:t xml:space="preserve"> אסירים</w:t>
      </w:r>
      <w:r w:rsidR="00DA640A">
        <w:rPr>
          <w:rFonts w:ascii="David" w:hAnsi="David" w:hint="cs"/>
          <w:noProof w:val="0"/>
          <w:rtl/>
        </w:rPr>
        <w:t>,</w:t>
      </w:r>
      <w:r w:rsidRPr="00B40998">
        <w:rPr>
          <w:rFonts w:ascii="David" w:hAnsi="David"/>
          <w:noProof w:val="0"/>
          <w:rtl/>
        </w:rPr>
        <w:t xml:space="preserve"> ומותר להם לתקשר ביניהם ולהגיע להסכמות דיוניות.</w:t>
      </w:r>
    </w:p>
    <w:p w:rsidR="00561E6D" w:rsidRDefault="00DF0C36" w:rsidP="00561E6D">
      <w:pPr>
        <w:pStyle w:val="ad"/>
        <w:spacing w:after="180" w:line="360" w:lineRule="auto"/>
        <w:ind w:left="652"/>
        <w:contextualSpacing w:val="0"/>
        <w:jc w:val="both"/>
        <w:rPr>
          <w:rFonts w:ascii="David" w:hAnsi="David"/>
          <w:noProof w:val="0"/>
          <w:rtl/>
        </w:rPr>
      </w:pPr>
      <w:r w:rsidRPr="00B40998">
        <w:rPr>
          <w:rFonts w:ascii="David" w:hAnsi="David"/>
          <w:noProof w:val="0"/>
          <w:rtl/>
        </w:rPr>
        <w:t>כך, למשל, במקרה אותו תיארתי לעיל, של שני צדדים אשר לא מעוניינים להגיש ערעור אלא אם הצד שכנגד יגיש</w:t>
      </w:r>
      <w:r w:rsidR="00DA640A">
        <w:rPr>
          <w:rFonts w:ascii="David" w:hAnsi="David" w:hint="cs"/>
          <w:noProof w:val="0"/>
          <w:rtl/>
        </w:rPr>
        <w:t xml:space="preserve"> ערעור</w:t>
      </w:r>
      <w:r w:rsidRPr="00B40998">
        <w:rPr>
          <w:rFonts w:ascii="David" w:hAnsi="David"/>
          <w:noProof w:val="0"/>
          <w:rtl/>
        </w:rPr>
        <w:t xml:space="preserve">, </w:t>
      </w:r>
      <w:r w:rsidR="00DA640A">
        <w:rPr>
          <w:rFonts w:ascii="David" w:hAnsi="David"/>
          <w:noProof w:val="0"/>
          <w:rtl/>
        </w:rPr>
        <w:t>דילמ</w:t>
      </w:r>
      <w:r w:rsidR="00DA640A">
        <w:rPr>
          <w:rFonts w:ascii="David" w:hAnsi="David" w:hint="cs"/>
          <w:noProof w:val="0"/>
          <w:rtl/>
        </w:rPr>
        <w:t>ת האסיר</w:t>
      </w:r>
      <w:r w:rsidRPr="00B40998">
        <w:rPr>
          <w:rFonts w:ascii="David" w:hAnsi="David"/>
          <w:noProof w:val="0"/>
          <w:rtl/>
        </w:rPr>
        <w:t xml:space="preserve"> ניתנת </w:t>
      </w:r>
      <w:r w:rsidR="00DA640A">
        <w:rPr>
          <w:rFonts w:ascii="David" w:hAnsi="David" w:hint="cs"/>
          <w:noProof w:val="0"/>
          <w:rtl/>
        </w:rPr>
        <w:t>ל</w:t>
      </w:r>
      <w:r w:rsidRPr="00B40998">
        <w:rPr>
          <w:rFonts w:ascii="David" w:hAnsi="David"/>
          <w:noProof w:val="0"/>
          <w:rtl/>
        </w:rPr>
        <w:t xml:space="preserve">פתרון פשוט </w:t>
      </w:r>
      <w:r w:rsidR="00561E6D">
        <w:rPr>
          <w:rFonts w:ascii="David" w:hAnsi="David" w:hint="cs"/>
          <w:noProof w:val="0"/>
          <w:rtl/>
        </w:rPr>
        <w:t xml:space="preserve">ויעיל </w:t>
      </w:r>
      <w:r w:rsidR="00DA640A">
        <w:rPr>
          <w:rFonts w:ascii="David" w:hAnsi="David" w:hint="cs"/>
          <w:noProof w:val="0"/>
          <w:rtl/>
        </w:rPr>
        <w:t xml:space="preserve">על ידי </w:t>
      </w:r>
      <w:r w:rsidRPr="00B40998">
        <w:rPr>
          <w:rFonts w:ascii="David" w:hAnsi="David"/>
          <w:noProof w:val="0"/>
          <w:rtl/>
        </w:rPr>
        <w:t xml:space="preserve">שיחת טלפון בין שני עורכי הדין והסכמה </w:t>
      </w:r>
      <w:r w:rsidR="00DA640A">
        <w:rPr>
          <w:rFonts w:ascii="David" w:hAnsi="David" w:hint="cs"/>
          <w:noProof w:val="0"/>
          <w:rtl/>
        </w:rPr>
        <w:t>על פיה</w:t>
      </w:r>
      <w:r w:rsidRPr="00B40998">
        <w:rPr>
          <w:rFonts w:ascii="David" w:hAnsi="David"/>
          <w:noProof w:val="0"/>
          <w:rtl/>
        </w:rPr>
        <w:t xml:space="preserve"> שני הצדדים לא יגישו ערעור.</w:t>
      </w:r>
      <w:r w:rsidR="00561E6D">
        <w:rPr>
          <w:rFonts w:ascii="David" w:hAnsi="David" w:hint="cs"/>
          <w:noProof w:val="0"/>
          <w:rtl/>
        </w:rPr>
        <w:t xml:space="preserve"> את בעיית האמון בהסכמה שכזו ניתן לפתור</w:t>
      </w:r>
      <w:r w:rsidR="0078468E">
        <w:rPr>
          <w:rFonts w:ascii="David" w:hAnsi="David" w:hint="cs"/>
          <w:noProof w:val="0"/>
          <w:rtl/>
        </w:rPr>
        <w:t xml:space="preserve"> על ידי עיגון ההסכמה בכתב ואף הגשתה לאישור בית המשפט.</w:t>
      </w:r>
    </w:p>
    <w:p w:rsidR="00DF0C36" w:rsidRDefault="00DA640A" w:rsidP="0078468E">
      <w:pPr>
        <w:pStyle w:val="ad"/>
        <w:spacing w:after="180" w:line="360" w:lineRule="auto"/>
        <w:ind w:left="652"/>
        <w:contextualSpacing w:val="0"/>
        <w:jc w:val="both"/>
        <w:rPr>
          <w:rFonts w:ascii="David" w:hAnsi="David"/>
          <w:noProof w:val="0"/>
          <w:rtl/>
        </w:rPr>
      </w:pPr>
      <w:r>
        <w:rPr>
          <w:rFonts w:ascii="David" w:hAnsi="David" w:hint="cs"/>
          <w:noProof w:val="0"/>
          <w:rtl/>
        </w:rPr>
        <w:t>כך שניתן להשיג את מטרת פרשנות המשיבה</w:t>
      </w:r>
      <w:r w:rsidR="0078468E">
        <w:rPr>
          <w:rFonts w:ascii="David" w:hAnsi="David" w:hint="cs"/>
          <w:noProof w:val="0"/>
          <w:rtl/>
        </w:rPr>
        <w:t xml:space="preserve"> במניעת דילמת האסיר </w:t>
      </w:r>
      <w:r>
        <w:rPr>
          <w:rFonts w:ascii="David" w:hAnsi="David" w:hint="cs"/>
          <w:noProof w:val="0"/>
          <w:rtl/>
        </w:rPr>
        <w:t>באמצעים אחרים ופשוטים.</w:t>
      </w:r>
    </w:p>
    <w:p w:rsidR="00DA708A" w:rsidRPr="00B40998" w:rsidRDefault="00DA708A" w:rsidP="0078468E">
      <w:pPr>
        <w:pStyle w:val="ad"/>
        <w:spacing w:after="180" w:line="360" w:lineRule="auto"/>
        <w:ind w:left="652"/>
        <w:contextualSpacing w:val="0"/>
        <w:jc w:val="both"/>
        <w:rPr>
          <w:rFonts w:ascii="David" w:hAnsi="David"/>
          <w:noProof w:val="0"/>
          <w:rtl/>
        </w:rPr>
      </w:pPr>
      <w:r>
        <w:rPr>
          <w:rFonts w:ascii="David" w:hAnsi="David" w:hint="cs"/>
          <w:noProof w:val="0"/>
          <w:rtl/>
        </w:rPr>
        <w:t>אציין כי</w:t>
      </w:r>
      <w:r w:rsidR="00154FAD">
        <w:rPr>
          <w:rFonts w:ascii="David" w:hAnsi="David" w:hint="cs"/>
          <w:noProof w:val="0"/>
          <w:rtl/>
        </w:rPr>
        <w:t xml:space="preserve"> אחת הדרכים המוכרות לפתירת 'דילמת האסיר' והשאת תועלת הצדדים הינה על ידי הסכמה מחייבת</w:t>
      </w:r>
      <w:r w:rsidR="0078468E">
        <w:rPr>
          <w:rFonts w:ascii="David" w:hAnsi="David" w:hint="cs"/>
          <w:noProof w:val="0"/>
          <w:rtl/>
        </w:rPr>
        <w:t xml:space="preserve"> ואכיפה</w:t>
      </w:r>
      <w:r w:rsidR="00154FAD">
        <w:rPr>
          <w:rFonts w:ascii="David" w:hAnsi="David" w:hint="cs"/>
          <w:noProof w:val="0"/>
          <w:rtl/>
        </w:rPr>
        <w:t>, ר'</w:t>
      </w:r>
      <w:r w:rsidR="0078468E">
        <w:rPr>
          <w:rFonts w:ascii="David" w:hAnsi="David" w:hint="cs"/>
          <w:noProof w:val="0"/>
          <w:rtl/>
        </w:rPr>
        <w:t xml:space="preserve"> </w:t>
      </w:r>
      <w:r w:rsidR="00154FAD">
        <w:rPr>
          <w:rFonts w:ascii="David" w:hAnsi="David" w:hint="cs"/>
          <w:noProof w:val="0"/>
          <w:rtl/>
        </w:rPr>
        <w:t xml:space="preserve">ד"ר ח' </w:t>
      </w:r>
      <w:r w:rsidR="00154FAD" w:rsidRPr="00154FAD">
        <w:rPr>
          <w:rFonts w:ascii="David" w:hAnsi="David"/>
          <w:noProof w:val="0"/>
          <w:rtl/>
        </w:rPr>
        <w:t xml:space="preserve">שפירא, </w:t>
      </w:r>
      <w:r w:rsidR="00154FAD" w:rsidRPr="00154FAD">
        <w:rPr>
          <w:rFonts w:ascii="David" w:hAnsi="David" w:hint="cs"/>
          <w:b/>
          <w:bCs/>
          <w:noProof w:val="0"/>
          <w:rtl/>
        </w:rPr>
        <w:t>'</w:t>
      </w:r>
      <w:r w:rsidR="00154FAD" w:rsidRPr="00154FAD">
        <w:rPr>
          <w:rFonts w:ascii="David" w:hAnsi="David"/>
          <w:b/>
          <w:bCs/>
          <w:noProof w:val="0"/>
          <w:rtl/>
        </w:rPr>
        <w:t>שיחות על תורת המשחקים: אסטרטגיות, החלטות ותעתועי חשיבה</w:t>
      </w:r>
      <w:r w:rsidR="00154FAD" w:rsidRPr="00154FAD">
        <w:rPr>
          <w:rFonts w:ascii="David" w:hAnsi="David" w:hint="cs"/>
          <w:b/>
          <w:bCs/>
          <w:noProof w:val="0"/>
          <w:rtl/>
        </w:rPr>
        <w:t xml:space="preserve">' </w:t>
      </w:r>
      <w:r w:rsidR="00154FAD">
        <w:rPr>
          <w:rFonts w:ascii="David" w:hAnsi="David" w:hint="cs"/>
          <w:noProof w:val="0"/>
          <w:rtl/>
        </w:rPr>
        <w:t>(2008,</w:t>
      </w:r>
      <w:r w:rsidR="00154FAD">
        <w:rPr>
          <w:rFonts w:ascii="David" w:hAnsi="David"/>
          <w:noProof w:val="0"/>
          <w:rtl/>
        </w:rPr>
        <w:t xml:space="preserve"> הוצאת  כנרת זמורה ביתן</w:t>
      </w:r>
      <w:r w:rsidR="00154FAD">
        <w:rPr>
          <w:rFonts w:ascii="David" w:hAnsi="David" w:hint="cs"/>
          <w:noProof w:val="0"/>
          <w:rtl/>
        </w:rPr>
        <w:t>) עמ'</w:t>
      </w:r>
      <w:r w:rsidR="00154FAD" w:rsidRPr="00154FAD">
        <w:rPr>
          <w:rFonts w:ascii="David" w:hAnsi="David"/>
          <w:noProof w:val="0"/>
          <w:rtl/>
        </w:rPr>
        <w:t xml:space="preserve"> 101-103.</w:t>
      </w:r>
    </w:p>
    <w:p w:rsidR="00E07C83" w:rsidRPr="00B40998" w:rsidRDefault="00DF0C36"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לאור האמור לעיל, אני קובע כי </w:t>
      </w:r>
      <w:r w:rsidR="00CD4FE1" w:rsidRPr="00B40998">
        <w:rPr>
          <w:rFonts w:ascii="David" w:hAnsi="David"/>
          <w:noProof w:val="0"/>
          <w:rtl/>
        </w:rPr>
        <w:t>הפרשנות הראויה והנכונה ל</w:t>
      </w:r>
      <w:r w:rsidRPr="00B40998">
        <w:rPr>
          <w:rFonts w:ascii="David" w:hAnsi="David"/>
          <w:noProof w:val="0"/>
          <w:rtl/>
        </w:rPr>
        <w:t xml:space="preserve">תקנה 45 לתקנות סדרי הדין משפחה </w:t>
      </w:r>
      <w:r w:rsidRPr="0078468E">
        <w:rPr>
          <w:rFonts w:ascii="David" w:hAnsi="David"/>
          <w:b/>
          <w:bCs/>
          <w:noProof w:val="0"/>
          <w:rtl/>
        </w:rPr>
        <w:t>אינה</w:t>
      </w:r>
      <w:r w:rsidRPr="00B40998">
        <w:rPr>
          <w:rFonts w:ascii="David" w:hAnsi="David"/>
          <w:noProof w:val="0"/>
          <w:rtl/>
        </w:rPr>
        <w:t xml:space="preserve"> מאפשרת הגשת ערעור משיב </w:t>
      </w:r>
      <w:r w:rsidR="00CD4FE1" w:rsidRPr="00B40998">
        <w:rPr>
          <w:rFonts w:ascii="David" w:hAnsi="David"/>
          <w:noProof w:val="0"/>
          <w:rtl/>
        </w:rPr>
        <w:t>לאחר עבור 45 יום מיום המצאת פסק הדין.</w:t>
      </w:r>
    </w:p>
    <w:p w:rsidR="00DF0A6A" w:rsidRDefault="00CD4FE1"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להשלמת התמונה אדון בטענות נוספת בהקשר זה שהעלתה המשיבה.</w:t>
      </w:r>
    </w:p>
    <w:p w:rsidR="00DF0A6A" w:rsidRDefault="00DF0A6A">
      <w:pPr>
        <w:bidi w:val="0"/>
        <w:rPr>
          <w:rFonts w:ascii="David" w:hAnsi="David"/>
          <w:noProof w:val="0"/>
          <w:rtl/>
        </w:rPr>
      </w:pPr>
      <w:r>
        <w:rPr>
          <w:rFonts w:ascii="David" w:hAnsi="David"/>
          <w:noProof w:val="0"/>
          <w:rtl/>
        </w:rPr>
        <w:br w:type="page"/>
      </w:r>
    </w:p>
    <w:p w:rsidR="00CD4FE1" w:rsidRPr="00B40998" w:rsidRDefault="00CD4FE1" w:rsidP="00B40998">
      <w:pPr>
        <w:spacing w:after="180" w:line="360" w:lineRule="auto"/>
        <w:jc w:val="both"/>
        <w:rPr>
          <w:rFonts w:ascii="David" w:hAnsi="David"/>
          <w:b/>
          <w:bCs/>
          <w:noProof w:val="0"/>
          <w:u w:val="single"/>
        </w:rPr>
      </w:pPr>
      <w:r w:rsidRPr="00B40998">
        <w:rPr>
          <w:rFonts w:ascii="David" w:hAnsi="David"/>
          <w:b/>
          <w:bCs/>
          <w:noProof w:val="0"/>
          <w:u w:val="single"/>
          <w:rtl/>
        </w:rPr>
        <w:lastRenderedPageBreak/>
        <w:t>זכות חוקתית להגשת ערעור</w:t>
      </w:r>
    </w:p>
    <w:p w:rsidR="00CD4FE1" w:rsidRPr="00B40998" w:rsidRDefault="00CD4FE1"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המשיבה טענה כי הזכות להגשת ערעור הינה זכות חוקתית בהתאם לסעיף 17 לחוק יסוד: השפיטה.</w:t>
      </w:r>
    </w:p>
    <w:p w:rsidR="00CD4FE1" w:rsidRPr="00B40998" w:rsidRDefault="00CD4FE1" w:rsidP="00B40998">
      <w:pPr>
        <w:pStyle w:val="ad"/>
        <w:spacing w:after="180" w:line="360" w:lineRule="auto"/>
        <w:ind w:left="652"/>
        <w:contextualSpacing w:val="0"/>
        <w:jc w:val="both"/>
        <w:rPr>
          <w:rFonts w:ascii="David" w:hAnsi="David"/>
          <w:noProof w:val="0"/>
        </w:rPr>
      </w:pPr>
      <w:r w:rsidRPr="00B40998">
        <w:rPr>
          <w:rFonts w:ascii="David" w:hAnsi="David"/>
          <w:noProof w:val="0"/>
          <w:rtl/>
        </w:rPr>
        <w:t>אין ממש בטענה זו.</w:t>
      </w:r>
    </w:p>
    <w:p w:rsidR="00CD4FE1" w:rsidRPr="00B40998" w:rsidRDefault="00CD4FE1" w:rsidP="0078468E">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סעיף 17 לחוק יסוד: השפיטה אכן קובע כי פסק דין של ערכאה ראשונה ניתן לערעור בזכות. </w:t>
      </w:r>
      <w:r w:rsidR="00DA640A">
        <w:rPr>
          <w:rFonts w:ascii="David" w:hAnsi="David" w:hint="cs"/>
          <w:noProof w:val="0"/>
          <w:rtl/>
        </w:rPr>
        <w:t>אלא, ש</w:t>
      </w:r>
      <w:r w:rsidRPr="00B40998">
        <w:rPr>
          <w:rFonts w:ascii="David" w:hAnsi="David"/>
          <w:noProof w:val="0"/>
          <w:rtl/>
        </w:rPr>
        <w:t>לענייננו</w:t>
      </w:r>
      <w:r w:rsidR="00DA640A">
        <w:rPr>
          <w:rFonts w:ascii="David" w:hAnsi="David" w:hint="cs"/>
          <w:noProof w:val="0"/>
          <w:rtl/>
        </w:rPr>
        <w:t>,</w:t>
      </w:r>
      <w:r w:rsidRPr="00B40998">
        <w:rPr>
          <w:rFonts w:ascii="David" w:hAnsi="David"/>
          <w:noProof w:val="0"/>
          <w:rtl/>
        </w:rPr>
        <w:t xml:space="preserve"> אין צורך להיכנס למחלוקת</w:t>
      </w:r>
      <w:r w:rsidR="00DA640A">
        <w:rPr>
          <w:rFonts w:ascii="David" w:hAnsi="David" w:hint="cs"/>
          <w:noProof w:val="0"/>
          <w:rtl/>
        </w:rPr>
        <w:t>,</w:t>
      </w:r>
      <w:r w:rsidRPr="00B40998">
        <w:rPr>
          <w:rFonts w:ascii="David" w:hAnsi="David"/>
          <w:noProof w:val="0"/>
          <w:rtl/>
        </w:rPr>
        <w:t xml:space="preserve"> האם מ</w:t>
      </w:r>
      <w:r w:rsidR="00DA640A">
        <w:rPr>
          <w:rFonts w:ascii="David" w:hAnsi="David" w:hint="cs"/>
          <w:noProof w:val="0"/>
          <w:rtl/>
        </w:rPr>
        <w:t xml:space="preserve">סעיף זה </w:t>
      </w:r>
      <w:r w:rsidRPr="00B40998">
        <w:rPr>
          <w:rFonts w:ascii="David" w:hAnsi="David"/>
          <w:noProof w:val="0"/>
          <w:rtl/>
        </w:rPr>
        <w:t>נובע</w:t>
      </w:r>
      <w:r w:rsidR="00DA640A">
        <w:rPr>
          <w:rFonts w:ascii="David" w:hAnsi="David" w:hint="cs"/>
          <w:noProof w:val="0"/>
          <w:rtl/>
        </w:rPr>
        <w:t>,</w:t>
      </w:r>
      <w:r w:rsidRPr="00B40998">
        <w:rPr>
          <w:rFonts w:ascii="David" w:hAnsi="David"/>
          <w:noProof w:val="0"/>
          <w:rtl/>
        </w:rPr>
        <w:t xml:space="preserve"> כי </w:t>
      </w:r>
      <w:r w:rsidR="00680586" w:rsidRPr="00B40998">
        <w:rPr>
          <w:rFonts w:ascii="David" w:hAnsi="David"/>
          <w:noProof w:val="0"/>
          <w:rtl/>
        </w:rPr>
        <w:t xml:space="preserve">הערעור הינה זכות חוקתית או לאו </w:t>
      </w:r>
      <w:r w:rsidR="0078468E">
        <w:rPr>
          <w:rFonts w:ascii="David" w:hAnsi="David" w:hint="cs"/>
          <w:noProof w:val="0"/>
          <w:rtl/>
        </w:rPr>
        <w:t>(</w:t>
      </w:r>
      <w:r w:rsidR="00680586" w:rsidRPr="00B40998">
        <w:rPr>
          <w:rFonts w:ascii="David" w:hAnsi="David"/>
          <w:noProof w:val="0"/>
          <w:rtl/>
        </w:rPr>
        <w:t>ל</w:t>
      </w:r>
      <w:r w:rsidR="0078468E">
        <w:rPr>
          <w:rFonts w:ascii="David" w:hAnsi="David" w:hint="cs"/>
          <w:noProof w:val="0"/>
          <w:rtl/>
        </w:rPr>
        <w:t xml:space="preserve">מחלוקת זו, </w:t>
      </w:r>
      <w:r w:rsidR="00680586" w:rsidRPr="00B40998">
        <w:rPr>
          <w:rFonts w:ascii="David" w:hAnsi="David"/>
          <w:noProof w:val="0"/>
          <w:rtl/>
        </w:rPr>
        <w:t xml:space="preserve">ר' ש' לוין </w:t>
      </w:r>
      <w:r w:rsidR="00680586" w:rsidRPr="00B40998">
        <w:rPr>
          <w:rFonts w:ascii="David" w:hAnsi="David"/>
          <w:b/>
          <w:bCs/>
          <w:noProof w:val="0"/>
          <w:rtl/>
        </w:rPr>
        <w:t>'תורת הפרוצדורה האזרחית: מבוא ועקרונות יסוד'</w:t>
      </w:r>
      <w:r w:rsidR="00680586" w:rsidRPr="00B40998">
        <w:rPr>
          <w:rFonts w:ascii="David" w:hAnsi="David"/>
          <w:noProof w:val="0"/>
          <w:rtl/>
        </w:rPr>
        <w:t xml:space="preserve"> (תשנ"ט), עמ' 24-30)</w:t>
      </w:r>
      <w:r w:rsidR="00DA640A">
        <w:rPr>
          <w:rFonts w:ascii="David" w:hAnsi="David" w:hint="cs"/>
          <w:noProof w:val="0"/>
          <w:rtl/>
        </w:rPr>
        <w:t>,</w:t>
      </w:r>
      <w:r w:rsidR="00680586" w:rsidRPr="00B40998">
        <w:rPr>
          <w:rFonts w:ascii="David" w:hAnsi="David"/>
          <w:noProof w:val="0"/>
          <w:rtl/>
        </w:rPr>
        <w:t xml:space="preserve"> </w:t>
      </w:r>
      <w:r w:rsidRPr="00B40998">
        <w:rPr>
          <w:rFonts w:ascii="David" w:hAnsi="David"/>
          <w:noProof w:val="0"/>
          <w:rtl/>
        </w:rPr>
        <w:t xml:space="preserve">היות ופרשנות המערער </w:t>
      </w:r>
      <w:r w:rsidRPr="00DA640A">
        <w:rPr>
          <w:rFonts w:ascii="David" w:hAnsi="David"/>
          <w:b/>
          <w:bCs/>
          <w:noProof w:val="0"/>
          <w:rtl/>
        </w:rPr>
        <w:t>אינה</w:t>
      </w:r>
      <w:r w:rsidRPr="00B40998">
        <w:rPr>
          <w:rFonts w:ascii="David" w:hAnsi="David"/>
          <w:noProof w:val="0"/>
          <w:rtl/>
        </w:rPr>
        <w:t xml:space="preserve"> מאיינת את זכות הערעור ואינה עומדת בניגוד לסעיף 17 לחוק יסוד: השפיטה.</w:t>
      </w:r>
    </w:p>
    <w:p w:rsidR="00680586" w:rsidRPr="00B40998" w:rsidRDefault="00CD4FE1" w:rsidP="0078468E">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פרשנות המערער, אשר </w:t>
      </w:r>
      <w:r w:rsidR="00D949D9" w:rsidRPr="00B40998">
        <w:rPr>
          <w:rFonts w:ascii="David" w:hAnsi="David"/>
          <w:noProof w:val="0"/>
          <w:rtl/>
        </w:rPr>
        <w:t>כ</w:t>
      </w:r>
      <w:r w:rsidRPr="00B40998">
        <w:rPr>
          <w:rFonts w:ascii="David" w:hAnsi="David"/>
          <w:noProof w:val="0"/>
          <w:rtl/>
        </w:rPr>
        <w:t>אמור מקובלת עליי, משמעותה</w:t>
      </w:r>
      <w:r w:rsidR="0078468E">
        <w:rPr>
          <w:rFonts w:ascii="David" w:hAnsi="David" w:hint="cs"/>
          <w:noProof w:val="0"/>
          <w:rtl/>
        </w:rPr>
        <w:t xml:space="preserve"> </w:t>
      </w:r>
      <w:r w:rsidRPr="00B40998">
        <w:rPr>
          <w:rFonts w:ascii="David" w:hAnsi="David"/>
          <w:noProof w:val="0"/>
          <w:rtl/>
        </w:rPr>
        <w:t>כי על כל אחד מהצדדים לתיק בענייני</w:t>
      </w:r>
      <w:r w:rsidR="0078468E">
        <w:rPr>
          <w:rFonts w:ascii="David" w:hAnsi="David" w:hint="cs"/>
          <w:noProof w:val="0"/>
          <w:rtl/>
        </w:rPr>
        <w:t xml:space="preserve"> </w:t>
      </w:r>
      <w:r w:rsidRPr="00B40998">
        <w:rPr>
          <w:rFonts w:ascii="David" w:hAnsi="David"/>
          <w:noProof w:val="0"/>
          <w:rtl/>
        </w:rPr>
        <w:t>משפחה</w:t>
      </w:r>
      <w:r w:rsidR="00DA640A">
        <w:rPr>
          <w:rFonts w:ascii="David" w:hAnsi="David" w:hint="cs"/>
          <w:noProof w:val="0"/>
          <w:rtl/>
        </w:rPr>
        <w:t xml:space="preserve"> אשר מעוניין לערער על פסק הדין</w:t>
      </w:r>
      <w:r w:rsidR="0078468E">
        <w:rPr>
          <w:rFonts w:ascii="David" w:hAnsi="David" w:hint="cs"/>
          <w:noProof w:val="0"/>
          <w:rtl/>
        </w:rPr>
        <w:t>,</w:t>
      </w:r>
      <w:r w:rsidRPr="00B40998">
        <w:rPr>
          <w:rFonts w:ascii="David" w:hAnsi="David"/>
          <w:noProof w:val="0"/>
          <w:rtl/>
        </w:rPr>
        <w:t xml:space="preserve"> להגיש ערעור בתוך 45 ימים מיום ההמצאה, </w:t>
      </w:r>
      <w:r w:rsidR="008B7E91">
        <w:rPr>
          <w:rFonts w:ascii="David" w:hAnsi="David" w:hint="cs"/>
          <w:noProof w:val="0"/>
          <w:rtl/>
        </w:rPr>
        <w:t>כך ש</w:t>
      </w:r>
      <w:r w:rsidR="0078468E">
        <w:rPr>
          <w:rFonts w:ascii="David" w:hAnsi="David" w:hint="cs"/>
          <w:noProof w:val="0"/>
          <w:rtl/>
        </w:rPr>
        <w:t xml:space="preserve">פרשנות זו </w:t>
      </w:r>
      <w:r w:rsidRPr="00B40998">
        <w:rPr>
          <w:rFonts w:ascii="David" w:hAnsi="David"/>
          <w:noProof w:val="0"/>
          <w:rtl/>
        </w:rPr>
        <w:t xml:space="preserve">אינה מונעת </w:t>
      </w:r>
      <w:r w:rsidR="008B7E91">
        <w:rPr>
          <w:rFonts w:ascii="David" w:hAnsi="David" w:hint="cs"/>
          <w:noProof w:val="0"/>
          <w:rtl/>
        </w:rPr>
        <w:t xml:space="preserve">הגשת </w:t>
      </w:r>
      <w:r w:rsidRPr="00B40998">
        <w:rPr>
          <w:rFonts w:ascii="David" w:hAnsi="David"/>
          <w:noProof w:val="0"/>
          <w:rtl/>
        </w:rPr>
        <w:t>ערעור ו</w:t>
      </w:r>
      <w:r w:rsidR="008B7E91">
        <w:rPr>
          <w:rFonts w:ascii="David" w:hAnsi="David" w:hint="cs"/>
          <w:noProof w:val="0"/>
          <w:rtl/>
        </w:rPr>
        <w:t xml:space="preserve">בוודאי </w:t>
      </w:r>
      <w:r w:rsidRPr="00B40998">
        <w:rPr>
          <w:rFonts w:ascii="David" w:hAnsi="David"/>
          <w:noProof w:val="0"/>
          <w:rtl/>
        </w:rPr>
        <w:t>אינה מ</w:t>
      </w:r>
      <w:r w:rsidR="00680586" w:rsidRPr="00B40998">
        <w:rPr>
          <w:rFonts w:ascii="David" w:hAnsi="David"/>
          <w:noProof w:val="0"/>
          <w:rtl/>
        </w:rPr>
        <w:t xml:space="preserve">איינת את זכות הערעור, אלא </w:t>
      </w:r>
      <w:r w:rsidR="008B7E91">
        <w:rPr>
          <w:rFonts w:ascii="David" w:hAnsi="David" w:hint="cs"/>
          <w:noProof w:val="0"/>
          <w:rtl/>
        </w:rPr>
        <w:t xml:space="preserve">רק </w:t>
      </w:r>
      <w:r w:rsidR="00680586" w:rsidRPr="00B40998">
        <w:rPr>
          <w:rFonts w:ascii="David" w:hAnsi="David"/>
          <w:noProof w:val="0"/>
          <w:rtl/>
        </w:rPr>
        <w:t>מגבילה את המועד להגשתו.</w:t>
      </w:r>
    </w:p>
    <w:p w:rsidR="00CD4FE1" w:rsidRDefault="00D949D9" w:rsidP="006B20B7">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לכן, אני דוחה טענה זו.</w:t>
      </w:r>
    </w:p>
    <w:p w:rsidR="00D949D9" w:rsidRPr="00B40998" w:rsidRDefault="00D949D9" w:rsidP="00B40998">
      <w:pPr>
        <w:spacing w:after="180" w:line="360" w:lineRule="auto"/>
        <w:ind w:left="-57"/>
        <w:jc w:val="both"/>
        <w:rPr>
          <w:rFonts w:ascii="David" w:hAnsi="David"/>
          <w:b/>
          <w:bCs/>
          <w:noProof w:val="0"/>
          <w:u w:val="single"/>
        </w:rPr>
      </w:pPr>
      <w:r w:rsidRPr="00B40998">
        <w:rPr>
          <w:rFonts w:ascii="David" w:hAnsi="David"/>
          <w:b/>
          <w:bCs/>
          <w:noProof w:val="0"/>
          <w:u w:val="single"/>
          <w:rtl/>
        </w:rPr>
        <w:t>ערעורי משיב ב</w:t>
      </w:r>
      <w:r w:rsidR="008B7E91">
        <w:rPr>
          <w:rFonts w:ascii="David" w:hAnsi="David" w:hint="cs"/>
          <w:b/>
          <w:bCs/>
          <w:noProof w:val="0"/>
          <w:u w:val="single"/>
          <w:rtl/>
        </w:rPr>
        <w:t xml:space="preserve">ענייני </w:t>
      </w:r>
      <w:r w:rsidRPr="00B40998">
        <w:rPr>
          <w:rFonts w:ascii="David" w:hAnsi="David"/>
          <w:b/>
          <w:bCs/>
          <w:noProof w:val="0"/>
          <w:u w:val="single"/>
          <w:rtl/>
        </w:rPr>
        <w:t>משפחה מוגשים כעניין שבשגרה</w:t>
      </w:r>
    </w:p>
    <w:p w:rsidR="00D949D9" w:rsidRPr="00B40998" w:rsidRDefault="00D949D9"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המשיבה טוענת כי ערעורי משיב</w:t>
      </w:r>
      <w:r w:rsidR="0078468E">
        <w:rPr>
          <w:rFonts w:ascii="David" w:hAnsi="David" w:hint="cs"/>
          <w:noProof w:val="0"/>
          <w:rtl/>
        </w:rPr>
        <w:t>, אשר</w:t>
      </w:r>
      <w:r w:rsidRPr="00B40998">
        <w:rPr>
          <w:rFonts w:ascii="David" w:hAnsi="David"/>
          <w:noProof w:val="0"/>
          <w:rtl/>
        </w:rPr>
        <w:t xml:space="preserve"> מוגשים בחלוף 45 ימים מיום המצאת פסק הדין</w:t>
      </w:r>
      <w:r w:rsidR="0078468E">
        <w:rPr>
          <w:rFonts w:ascii="David" w:hAnsi="David" w:hint="cs"/>
          <w:noProof w:val="0"/>
          <w:rtl/>
        </w:rPr>
        <w:t>,</w:t>
      </w:r>
      <w:r w:rsidRPr="00B40998">
        <w:rPr>
          <w:rFonts w:ascii="David" w:hAnsi="David"/>
          <w:noProof w:val="0"/>
          <w:rtl/>
        </w:rPr>
        <w:t xml:space="preserve"> </w:t>
      </w:r>
      <w:r w:rsidR="008D6875">
        <w:rPr>
          <w:rFonts w:ascii="David" w:hAnsi="David" w:hint="cs"/>
          <w:noProof w:val="0"/>
          <w:rtl/>
        </w:rPr>
        <w:t xml:space="preserve">מוגשים </w:t>
      </w:r>
      <w:r w:rsidRPr="00B40998">
        <w:rPr>
          <w:rFonts w:ascii="David" w:hAnsi="David"/>
          <w:noProof w:val="0"/>
          <w:rtl/>
        </w:rPr>
        <w:t>כדבר שבשגרה, ומכאן אין מקום לגדוע פרקטיקה זו.</w:t>
      </w:r>
    </w:p>
    <w:p w:rsidR="00D949D9" w:rsidRPr="00B40998" w:rsidRDefault="00D949D9" w:rsidP="00B40998">
      <w:pPr>
        <w:pStyle w:val="ad"/>
        <w:spacing w:after="180" w:line="360" w:lineRule="auto"/>
        <w:ind w:left="652"/>
        <w:contextualSpacing w:val="0"/>
        <w:jc w:val="both"/>
        <w:rPr>
          <w:rFonts w:ascii="David" w:hAnsi="David"/>
          <w:noProof w:val="0"/>
        </w:rPr>
      </w:pPr>
      <w:r w:rsidRPr="00B40998">
        <w:rPr>
          <w:rFonts w:ascii="David" w:hAnsi="David"/>
          <w:noProof w:val="0"/>
          <w:rtl/>
        </w:rPr>
        <w:t>איני סבור שיש בטענה זו בכדי להשפיע על פרשנות התקנה</w:t>
      </w:r>
      <w:r w:rsidR="008B7E91">
        <w:rPr>
          <w:rFonts w:ascii="David" w:hAnsi="David" w:hint="cs"/>
          <w:noProof w:val="0"/>
          <w:rtl/>
        </w:rPr>
        <w:t xml:space="preserve"> לעיל</w:t>
      </w:r>
      <w:r w:rsidRPr="00B40998">
        <w:rPr>
          <w:rFonts w:ascii="David" w:hAnsi="David"/>
          <w:noProof w:val="0"/>
          <w:rtl/>
        </w:rPr>
        <w:t>, ואבאר.</w:t>
      </w:r>
    </w:p>
    <w:p w:rsidR="00D949D9" w:rsidRDefault="00D949D9" w:rsidP="008B7E91">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ראשית, מדובר בטענה בעלמא, כאשר המשיבה לא הציגה כל נתונים בדבר מספר ערעורי המשיב</w:t>
      </w:r>
      <w:r w:rsidR="008B7E91">
        <w:rPr>
          <w:rFonts w:ascii="David" w:hAnsi="David" w:hint="cs"/>
          <w:noProof w:val="0"/>
          <w:rtl/>
        </w:rPr>
        <w:t xml:space="preserve"> בענייני </w:t>
      </w:r>
      <w:r w:rsidRPr="00B40998">
        <w:rPr>
          <w:rFonts w:ascii="David" w:hAnsi="David"/>
          <w:noProof w:val="0"/>
          <w:rtl/>
        </w:rPr>
        <w:t>משפחה, כך שלא ניתן לבסס טענה</w:t>
      </w:r>
      <w:r w:rsidR="008B7E91">
        <w:rPr>
          <w:rFonts w:ascii="David" w:hAnsi="David" w:hint="cs"/>
          <w:noProof w:val="0"/>
          <w:rtl/>
        </w:rPr>
        <w:t xml:space="preserve"> בהקשר זה רק</w:t>
      </w:r>
      <w:r w:rsidRPr="00B40998">
        <w:rPr>
          <w:rFonts w:ascii="David" w:hAnsi="David"/>
          <w:noProof w:val="0"/>
          <w:rtl/>
        </w:rPr>
        <w:t xml:space="preserve"> על בסיס תחושה של המשיבה</w:t>
      </w:r>
      <w:r w:rsidR="008B7E91">
        <w:rPr>
          <w:rFonts w:ascii="David" w:hAnsi="David" w:hint="cs"/>
          <w:noProof w:val="0"/>
          <w:rtl/>
        </w:rPr>
        <w:t xml:space="preserve"> וללא בסיס נתונים של ממש</w:t>
      </w:r>
      <w:r w:rsidRPr="00B40998">
        <w:rPr>
          <w:rFonts w:ascii="David" w:hAnsi="David"/>
          <w:noProof w:val="0"/>
          <w:rtl/>
        </w:rPr>
        <w:t>.</w:t>
      </w:r>
    </w:p>
    <w:p w:rsidR="00CA4DC5" w:rsidRDefault="00D949D9" w:rsidP="008D6875">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שנית, תיקון</w:t>
      </w:r>
      <w:r w:rsidR="008B7E91">
        <w:rPr>
          <w:rFonts w:ascii="David" w:hAnsi="David" w:hint="cs"/>
          <w:noProof w:val="0"/>
          <w:rtl/>
        </w:rPr>
        <w:t xml:space="preserve"> 2022</w:t>
      </w:r>
      <w:r w:rsidRPr="00B40998">
        <w:rPr>
          <w:rFonts w:ascii="David" w:hAnsi="David"/>
          <w:noProof w:val="0"/>
          <w:rtl/>
        </w:rPr>
        <w:t xml:space="preserve"> נכנס לתוקפו רק בחודש</w:t>
      </w:r>
      <w:r w:rsidR="008D3263">
        <w:rPr>
          <w:rFonts w:ascii="David" w:hAnsi="David" w:hint="cs"/>
          <w:noProof w:val="0"/>
          <w:rtl/>
        </w:rPr>
        <w:t xml:space="preserve"> ינואר</w:t>
      </w:r>
      <w:r w:rsidRPr="00B40998">
        <w:rPr>
          <w:rFonts w:ascii="David" w:hAnsi="David"/>
          <w:noProof w:val="0"/>
          <w:rtl/>
        </w:rPr>
        <w:t xml:space="preserve"> 2023, כלומר לפני חודשים מעטים, מכאן הגיוני וסביר, כי הטעמת השינוי הגלום בתקנות בדבר ביטול מוסד ערעור המשיב </w:t>
      </w:r>
      <w:r w:rsidR="008D6875">
        <w:rPr>
          <w:rFonts w:ascii="David" w:hAnsi="David" w:hint="cs"/>
          <w:noProof w:val="0"/>
          <w:rtl/>
        </w:rPr>
        <w:t xml:space="preserve">תיקח זמן וזאת </w:t>
      </w:r>
      <w:r w:rsidR="00CA4DC5" w:rsidRPr="00B40998">
        <w:rPr>
          <w:rFonts w:ascii="David" w:hAnsi="David"/>
          <w:noProof w:val="0"/>
          <w:rtl/>
        </w:rPr>
        <w:t>עד אשר הצדדים, וכן בתי המשפט, יהיו מודעים לשינוי ויטמיעו אותו.</w:t>
      </w:r>
    </w:p>
    <w:p w:rsidR="008B7E91" w:rsidRDefault="008D6875" w:rsidP="008D6875">
      <w:pPr>
        <w:pStyle w:val="ad"/>
        <w:spacing w:after="180" w:line="360" w:lineRule="auto"/>
        <w:ind w:left="652"/>
        <w:contextualSpacing w:val="0"/>
        <w:jc w:val="both"/>
        <w:rPr>
          <w:rFonts w:ascii="David" w:hAnsi="David"/>
          <w:noProof w:val="0"/>
          <w:rtl/>
        </w:rPr>
      </w:pPr>
      <w:r>
        <w:rPr>
          <w:rFonts w:ascii="David" w:hAnsi="David" w:hint="cs"/>
          <w:noProof w:val="0"/>
          <w:rtl/>
        </w:rPr>
        <w:t xml:space="preserve">מסיבה זו, </w:t>
      </w:r>
      <w:r w:rsidR="008B7E91">
        <w:rPr>
          <w:rFonts w:ascii="David" w:hAnsi="David" w:hint="cs"/>
          <w:noProof w:val="0"/>
          <w:rtl/>
        </w:rPr>
        <w:t xml:space="preserve">העובדה כי </w:t>
      </w:r>
      <w:r>
        <w:rPr>
          <w:rFonts w:ascii="David" w:hAnsi="David" w:hint="cs"/>
          <w:noProof w:val="0"/>
          <w:rtl/>
        </w:rPr>
        <w:t>טרם</w:t>
      </w:r>
      <w:r w:rsidR="008B7E91">
        <w:rPr>
          <w:rFonts w:ascii="David" w:hAnsi="David" w:hint="cs"/>
          <w:noProof w:val="0"/>
          <w:rtl/>
        </w:rPr>
        <w:t xml:space="preserve"> ניתנו פסקי דין המוחקים ערעורי משיב</w:t>
      </w:r>
      <w:r>
        <w:rPr>
          <w:rFonts w:ascii="David" w:hAnsi="David" w:hint="cs"/>
          <w:noProof w:val="0"/>
          <w:rtl/>
        </w:rPr>
        <w:t xml:space="preserve"> עקב איחור בהגשתם</w:t>
      </w:r>
      <w:r w:rsidR="008B7E91">
        <w:rPr>
          <w:rFonts w:ascii="David" w:hAnsi="David" w:hint="cs"/>
          <w:noProof w:val="0"/>
          <w:rtl/>
        </w:rPr>
        <w:t xml:space="preserve">, </w:t>
      </w:r>
      <w:r>
        <w:rPr>
          <w:rFonts w:ascii="David" w:hAnsi="David" w:hint="cs"/>
          <w:noProof w:val="0"/>
          <w:rtl/>
        </w:rPr>
        <w:t xml:space="preserve">אינה תומכת </w:t>
      </w:r>
      <w:r w:rsidR="008B7E91">
        <w:rPr>
          <w:rFonts w:ascii="David" w:hAnsi="David" w:hint="cs"/>
          <w:noProof w:val="0"/>
          <w:rtl/>
        </w:rPr>
        <w:t>כי זו הפרשנות הנכונה או הראויה לתקנות.</w:t>
      </w:r>
    </w:p>
    <w:p w:rsidR="008D6875" w:rsidRPr="00B40998" w:rsidRDefault="008D6875" w:rsidP="008D6875">
      <w:pPr>
        <w:pStyle w:val="ad"/>
        <w:spacing w:after="180" w:line="360" w:lineRule="auto"/>
        <w:ind w:left="652"/>
        <w:contextualSpacing w:val="0"/>
        <w:jc w:val="both"/>
        <w:rPr>
          <w:rFonts w:ascii="David" w:hAnsi="David"/>
          <w:noProof w:val="0"/>
        </w:rPr>
      </w:pPr>
      <w:r>
        <w:rPr>
          <w:rFonts w:ascii="David" w:hAnsi="David" w:hint="cs"/>
          <w:noProof w:val="0"/>
          <w:rtl/>
        </w:rPr>
        <w:lastRenderedPageBreak/>
        <w:t xml:space="preserve">ברור כי גם אפשרות קליטת ערעור משיב במערכת הנט, כטענת המשיבה, הינה חסרת כל ערך פרשני, בפרט, כאשר אין טענה שלא ניתן להגיש </w:t>
      </w:r>
      <w:r w:rsidR="000847A3">
        <w:rPr>
          <w:rFonts w:ascii="David" w:hAnsi="David" w:hint="cs"/>
          <w:noProof w:val="0"/>
          <w:rtl/>
        </w:rPr>
        <w:t xml:space="preserve">כלל </w:t>
      </w:r>
      <w:r>
        <w:rPr>
          <w:rFonts w:ascii="David" w:hAnsi="David" w:hint="cs"/>
          <w:noProof w:val="0"/>
          <w:rtl/>
        </w:rPr>
        <w:t>ערעור משיב, אלא שהזמן להגשתו מוגבלת. מערכת הנט</w:t>
      </w:r>
      <w:r w:rsidR="000847A3">
        <w:rPr>
          <w:rFonts w:ascii="David" w:hAnsi="David" w:hint="cs"/>
          <w:noProof w:val="0"/>
          <w:rtl/>
        </w:rPr>
        <w:t>, לפחות בשלב זה של הפיתוח שלה,</w:t>
      </w:r>
      <w:r>
        <w:rPr>
          <w:rFonts w:ascii="David" w:hAnsi="David" w:hint="cs"/>
          <w:noProof w:val="0"/>
          <w:rtl/>
        </w:rPr>
        <w:t xml:space="preserve"> אינה בודקת האם ערעור הוגש או לא הוגש במועדו.</w:t>
      </w:r>
    </w:p>
    <w:p w:rsidR="00CA4DC5" w:rsidRPr="00B40998" w:rsidRDefault="00CA4DC5" w:rsidP="008B7E91">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בכל מקרה, אף אם המתדיינים לא נהגו בשנה האחרונה בהתאם לתקנות</w:t>
      </w:r>
      <w:r w:rsidR="008B7E91">
        <w:rPr>
          <w:rFonts w:ascii="David" w:hAnsi="David" w:hint="cs"/>
          <w:noProof w:val="0"/>
          <w:rtl/>
        </w:rPr>
        <w:t>,</w:t>
      </w:r>
      <w:r w:rsidRPr="00B40998">
        <w:rPr>
          <w:rFonts w:ascii="David" w:hAnsi="David"/>
          <w:noProof w:val="0"/>
          <w:rtl/>
        </w:rPr>
        <w:t xml:space="preserve"> </w:t>
      </w:r>
      <w:r w:rsidR="008B7E91">
        <w:rPr>
          <w:rFonts w:ascii="David" w:hAnsi="David" w:hint="cs"/>
          <w:noProof w:val="0"/>
          <w:rtl/>
        </w:rPr>
        <w:t xml:space="preserve">הרי </w:t>
      </w:r>
      <w:r w:rsidRPr="00B40998">
        <w:rPr>
          <w:rFonts w:ascii="David" w:hAnsi="David"/>
          <w:noProof w:val="0"/>
          <w:rtl/>
        </w:rPr>
        <w:t xml:space="preserve">אין בכך להוות נימוק מספיק לאימוץ פרשנות </w:t>
      </w:r>
      <w:r w:rsidR="008B7E91">
        <w:rPr>
          <w:rFonts w:ascii="David" w:hAnsi="David" w:hint="cs"/>
          <w:noProof w:val="0"/>
          <w:rtl/>
        </w:rPr>
        <w:t xml:space="preserve">העומדת </w:t>
      </w:r>
      <w:r w:rsidRPr="00B40998">
        <w:rPr>
          <w:rFonts w:ascii="David" w:hAnsi="David"/>
          <w:noProof w:val="0"/>
          <w:rtl/>
        </w:rPr>
        <w:t>בניגוד ללשון החוק ולכוונת המחוקק.</w:t>
      </w:r>
    </w:p>
    <w:p w:rsidR="00CA4DC5" w:rsidRPr="00B40998" w:rsidRDefault="00CA4DC5" w:rsidP="008B7E91">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אבהיר, כי </w:t>
      </w:r>
      <w:r w:rsidR="008B7E91">
        <w:rPr>
          <w:rFonts w:ascii="David" w:hAnsi="David" w:hint="cs"/>
          <w:noProof w:val="0"/>
          <w:rtl/>
        </w:rPr>
        <w:t>ה</w:t>
      </w:r>
      <w:r w:rsidRPr="00B40998">
        <w:rPr>
          <w:rFonts w:ascii="David" w:hAnsi="David"/>
          <w:noProof w:val="0"/>
          <w:rtl/>
        </w:rPr>
        <w:t xml:space="preserve">טענה בדבר פרקטיקה רווחת, </w:t>
      </w:r>
      <w:r w:rsidR="008B7E91">
        <w:rPr>
          <w:rFonts w:ascii="David" w:hAnsi="David" w:hint="cs"/>
          <w:noProof w:val="0"/>
          <w:rtl/>
        </w:rPr>
        <w:t>לא נסמכה על מסד נתונים ו</w:t>
      </w:r>
      <w:r w:rsidRPr="00B40998">
        <w:rPr>
          <w:rFonts w:ascii="David" w:hAnsi="David"/>
          <w:noProof w:val="0"/>
          <w:rtl/>
        </w:rPr>
        <w:t>המשיבה</w:t>
      </w:r>
      <w:r w:rsidR="008B7E91">
        <w:rPr>
          <w:rFonts w:ascii="David" w:hAnsi="David" w:hint="cs"/>
          <w:noProof w:val="0"/>
          <w:rtl/>
        </w:rPr>
        <w:t xml:space="preserve"> אף לא הציגה</w:t>
      </w:r>
      <w:r w:rsidRPr="00B40998">
        <w:rPr>
          <w:rFonts w:ascii="David" w:hAnsi="David"/>
          <w:noProof w:val="0"/>
          <w:rtl/>
        </w:rPr>
        <w:t xml:space="preserve"> החלטה שיפוטית </w:t>
      </w:r>
      <w:r w:rsidRPr="000847A3">
        <w:rPr>
          <w:rFonts w:ascii="David" w:hAnsi="David"/>
          <w:b/>
          <w:bCs/>
          <w:noProof w:val="0"/>
          <w:rtl/>
        </w:rPr>
        <w:t>המאשרת</w:t>
      </w:r>
      <w:r w:rsidRPr="00B40998">
        <w:rPr>
          <w:rFonts w:ascii="David" w:hAnsi="David"/>
          <w:noProof w:val="0"/>
          <w:rtl/>
        </w:rPr>
        <w:t xml:space="preserve"> פרקטיקה זו.</w:t>
      </w:r>
    </w:p>
    <w:p w:rsidR="00CA4DC5" w:rsidRPr="00B40998" w:rsidRDefault="00CA4DC5" w:rsidP="00B40998">
      <w:pPr>
        <w:spacing w:after="180" w:line="360" w:lineRule="auto"/>
        <w:ind w:left="-57"/>
        <w:jc w:val="both"/>
        <w:rPr>
          <w:rFonts w:ascii="David" w:hAnsi="David"/>
          <w:b/>
          <w:bCs/>
          <w:noProof w:val="0"/>
          <w:u w:val="single"/>
        </w:rPr>
      </w:pPr>
      <w:r w:rsidRPr="00B40998">
        <w:rPr>
          <w:rFonts w:ascii="David" w:hAnsi="David"/>
          <w:b/>
          <w:bCs/>
          <w:noProof w:val="0"/>
          <w:u w:val="single"/>
          <w:rtl/>
        </w:rPr>
        <w:t>"הפליה" של המתדיינים בענייני משפחה</w:t>
      </w:r>
    </w:p>
    <w:p w:rsidR="00CA4DC5" w:rsidRPr="00B40998" w:rsidRDefault="00CA4DC5"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המשיבה טוענת כי באימוץ פרשנות המערער יש משום הפליה של המתדיינים בענייני משפחה</w:t>
      </w:r>
      <w:r w:rsidR="00620001">
        <w:rPr>
          <w:rFonts w:ascii="David" w:hAnsi="David" w:hint="cs"/>
          <w:noProof w:val="0"/>
          <w:rtl/>
        </w:rPr>
        <w:t>,</w:t>
      </w:r>
      <w:r w:rsidRPr="00B40998">
        <w:rPr>
          <w:rFonts w:ascii="David" w:hAnsi="David"/>
          <w:noProof w:val="0"/>
          <w:rtl/>
        </w:rPr>
        <w:t xml:space="preserve"> </w:t>
      </w:r>
      <w:r w:rsidR="00620001">
        <w:rPr>
          <w:rFonts w:ascii="David" w:hAnsi="David" w:hint="cs"/>
          <w:noProof w:val="0"/>
          <w:rtl/>
        </w:rPr>
        <w:t>כ</w:t>
      </w:r>
      <w:r w:rsidRPr="00B40998">
        <w:rPr>
          <w:rFonts w:ascii="David" w:hAnsi="David"/>
          <w:noProof w:val="0"/>
          <w:rtl/>
        </w:rPr>
        <w:t>אשר עליהם נאסר להגיש ערעור משיב לעומת המתדיינים האזרחיים, להם מוקנ</w:t>
      </w:r>
      <w:r w:rsidR="00620001">
        <w:rPr>
          <w:rFonts w:ascii="David" w:hAnsi="David" w:hint="cs"/>
          <w:noProof w:val="0"/>
          <w:rtl/>
        </w:rPr>
        <w:t>י</w:t>
      </w:r>
      <w:r w:rsidRPr="00B40998">
        <w:rPr>
          <w:rFonts w:ascii="David" w:hAnsi="David"/>
          <w:noProof w:val="0"/>
          <w:rtl/>
        </w:rPr>
        <w:t>ת זכות זו.</w:t>
      </w:r>
    </w:p>
    <w:p w:rsidR="00CA4DC5" w:rsidRPr="00B40998" w:rsidRDefault="00CA4DC5"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 xml:space="preserve">איני מקבל טענה זו, ואנמק. </w:t>
      </w:r>
    </w:p>
    <w:p w:rsidR="006B20B7" w:rsidRDefault="00620001" w:rsidP="00DF0A6A">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 xml:space="preserve">לטעמי, </w:t>
      </w:r>
      <w:r w:rsidR="00690FFE" w:rsidRPr="00B40998">
        <w:rPr>
          <w:rFonts w:ascii="David" w:hAnsi="David"/>
          <w:noProof w:val="0"/>
          <w:rtl/>
        </w:rPr>
        <w:t>אין מדובר ב-"הפליה" אלא בק</w:t>
      </w:r>
      <w:r w:rsidR="00600811" w:rsidRPr="00B40998">
        <w:rPr>
          <w:rFonts w:ascii="David" w:hAnsi="David"/>
          <w:noProof w:val="0"/>
          <w:rtl/>
        </w:rPr>
        <w:t xml:space="preserve">ביעת הסדר </w:t>
      </w:r>
      <w:r w:rsidR="00600811" w:rsidRPr="000847A3">
        <w:rPr>
          <w:rFonts w:ascii="David" w:hAnsi="David"/>
          <w:b/>
          <w:bCs/>
          <w:noProof w:val="0"/>
          <w:rtl/>
        </w:rPr>
        <w:t xml:space="preserve">שונה </w:t>
      </w:r>
      <w:r w:rsidR="00600811" w:rsidRPr="00B40998">
        <w:rPr>
          <w:rFonts w:ascii="David" w:hAnsi="David"/>
          <w:noProof w:val="0"/>
          <w:rtl/>
        </w:rPr>
        <w:t xml:space="preserve">לסוג </w:t>
      </w:r>
      <w:r w:rsidR="00600811" w:rsidRPr="00620001">
        <w:rPr>
          <w:rFonts w:ascii="David" w:hAnsi="David"/>
          <w:b/>
          <w:bCs/>
          <w:noProof w:val="0"/>
          <w:rtl/>
        </w:rPr>
        <w:t>שונה</w:t>
      </w:r>
      <w:r w:rsidR="00600811" w:rsidRPr="00B40998">
        <w:rPr>
          <w:rFonts w:ascii="David" w:hAnsi="David"/>
          <w:noProof w:val="0"/>
          <w:rtl/>
        </w:rPr>
        <w:t xml:space="preserve"> של תיקים. מהות ההליך בענייני משפחה </w:t>
      </w:r>
      <w:r w:rsidR="00600811" w:rsidRPr="00620001">
        <w:rPr>
          <w:rFonts w:ascii="David" w:hAnsi="David"/>
          <w:b/>
          <w:bCs/>
          <w:noProof w:val="0"/>
          <w:rtl/>
        </w:rPr>
        <w:t>שונה</w:t>
      </w:r>
      <w:r w:rsidR="00600811" w:rsidRPr="00B40998">
        <w:rPr>
          <w:rFonts w:ascii="David" w:hAnsi="David"/>
          <w:noProof w:val="0"/>
          <w:rtl/>
        </w:rPr>
        <w:t xml:space="preserve"> ממהות הליך במשפט אזרחי רגיל</w:t>
      </w:r>
      <w:r>
        <w:rPr>
          <w:rFonts w:ascii="David" w:hAnsi="David" w:hint="cs"/>
          <w:noProof w:val="0"/>
          <w:rtl/>
        </w:rPr>
        <w:t>,</w:t>
      </w:r>
      <w:r w:rsidR="00600811" w:rsidRPr="00B40998">
        <w:rPr>
          <w:rFonts w:ascii="David" w:hAnsi="David"/>
          <w:noProof w:val="0"/>
          <w:rtl/>
        </w:rPr>
        <w:t xml:space="preserve"> ולכן הן המחוקק הראשי והן מחוקק המשנה קבעו הסדרים דיוניים שונים לענייני משפחה.</w:t>
      </w:r>
    </w:p>
    <w:p w:rsidR="00600811" w:rsidRDefault="00600811"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כך, במסגרת זו, סבר מחוקק המשנה</w:t>
      </w:r>
      <w:r w:rsidR="00620001">
        <w:rPr>
          <w:rFonts w:ascii="David" w:hAnsi="David" w:hint="cs"/>
          <w:noProof w:val="0"/>
          <w:rtl/>
        </w:rPr>
        <w:t>,</w:t>
      </w:r>
      <w:r w:rsidRPr="00B40998">
        <w:rPr>
          <w:rFonts w:ascii="David" w:hAnsi="David"/>
          <w:noProof w:val="0"/>
          <w:rtl/>
        </w:rPr>
        <w:t xml:space="preserve"> כי יש מקום לקבוע מועד קצר יותר להגשת ערעור בענייני משפחה, 45 יום במקום 60</w:t>
      </w:r>
      <w:r w:rsidR="000847A3">
        <w:rPr>
          <w:rFonts w:ascii="David" w:hAnsi="David" w:hint="cs"/>
          <w:noProof w:val="0"/>
          <w:rtl/>
        </w:rPr>
        <w:t xml:space="preserve"> יום</w:t>
      </w:r>
      <w:r w:rsidRPr="00B40998">
        <w:rPr>
          <w:rFonts w:ascii="David" w:hAnsi="David"/>
          <w:noProof w:val="0"/>
          <w:rtl/>
        </w:rPr>
        <w:t xml:space="preserve">, ואין מדובר בהפליה, אלא בהבחנה רלוונטית. וכך, סבר מחוקק המשנה, כי </w:t>
      </w:r>
      <w:r w:rsidR="000847A3">
        <w:rPr>
          <w:rFonts w:ascii="David" w:hAnsi="David" w:hint="cs"/>
          <w:noProof w:val="0"/>
          <w:rtl/>
        </w:rPr>
        <w:t xml:space="preserve">בענייני משפחה </w:t>
      </w:r>
      <w:r w:rsidRPr="00B40998">
        <w:rPr>
          <w:rFonts w:ascii="David" w:hAnsi="David"/>
          <w:noProof w:val="0"/>
          <w:rtl/>
        </w:rPr>
        <w:t xml:space="preserve">יש להעדיף את תיחום המועדים להגשת ערעור, ולא לאפשר התארכות ההליכים על ידי הגשת ערעור משיב, וגם בעניין זה מדובר על </w:t>
      </w:r>
      <w:r w:rsidR="00620001">
        <w:rPr>
          <w:rFonts w:ascii="David" w:hAnsi="David"/>
          <w:noProof w:val="0"/>
          <w:rtl/>
        </w:rPr>
        <w:t>הבחנה רלוונטית לאור השוני בהליך</w:t>
      </w:r>
      <w:r w:rsidR="00620001">
        <w:rPr>
          <w:rFonts w:ascii="David" w:hAnsi="David" w:hint="cs"/>
          <w:noProof w:val="0"/>
          <w:rtl/>
        </w:rPr>
        <w:t xml:space="preserve"> ולא בהפליה.</w:t>
      </w:r>
    </w:p>
    <w:p w:rsidR="000847A3" w:rsidRDefault="000847A3" w:rsidP="00B40998">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מכאן, אני דוחה טענה זו.</w:t>
      </w:r>
    </w:p>
    <w:p w:rsidR="00F608CA" w:rsidRPr="00F608CA" w:rsidRDefault="00F608CA" w:rsidP="00F608CA">
      <w:pPr>
        <w:spacing w:after="180" w:line="360" w:lineRule="auto"/>
        <w:ind w:left="-57"/>
        <w:jc w:val="both"/>
        <w:rPr>
          <w:rFonts w:ascii="David" w:hAnsi="David"/>
          <w:b/>
          <w:bCs/>
          <w:noProof w:val="0"/>
          <w:u w:val="single"/>
        </w:rPr>
      </w:pPr>
      <w:r w:rsidRPr="00F608CA">
        <w:rPr>
          <w:rFonts w:ascii="David" w:hAnsi="David" w:hint="cs"/>
          <w:b/>
          <w:bCs/>
          <w:noProof w:val="0"/>
          <w:u w:val="single"/>
          <w:rtl/>
        </w:rPr>
        <w:t xml:space="preserve">פסק הדין עמ"ש 26203-06-21 </w:t>
      </w:r>
      <w:r w:rsidR="000847A3">
        <w:rPr>
          <w:rFonts w:ascii="David" w:hAnsi="David" w:hint="cs"/>
          <w:b/>
          <w:bCs/>
          <w:noProof w:val="0"/>
          <w:u w:val="single"/>
          <w:rtl/>
        </w:rPr>
        <w:t xml:space="preserve">בעניין </w:t>
      </w:r>
      <w:r w:rsidRPr="00F608CA">
        <w:rPr>
          <w:rFonts w:ascii="David" w:hAnsi="David" w:hint="cs"/>
          <w:b/>
          <w:bCs/>
          <w:noProof w:val="0"/>
          <w:u w:val="single"/>
          <w:rtl/>
        </w:rPr>
        <w:t>א.ב.</w:t>
      </w:r>
    </w:p>
    <w:p w:rsidR="00F608CA" w:rsidRDefault="00F608CA" w:rsidP="000847A3">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ה</w:t>
      </w:r>
      <w:r w:rsidR="000847A3">
        <w:rPr>
          <w:rFonts w:ascii="David" w:hAnsi="David" w:hint="cs"/>
          <w:noProof w:val="0"/>
          <w:rtl/>
        </w:rPr>
        <w:t xml:space="preserve">משיבה </w:t>
      </w:r>
      <w:r>
        <w:rPr>
          <w:rFonts w:ascii="David" w:hAnsi="David" w:hint="cs"/>
          <w:noProof w:val="0"/>
          <w:rtl/>
        </w:rPr>
        <w:t xml:space="preserve">טוענת, כי פסק הדין בעניין </w:t>
      </w:r>
      <w:r w:rsidRPr="00F608CA">
        <w:rPr>
          <w:rFonts w:ascii="David" w:hAnsi="David" w:hint="cs"/>
          <w:b/>
          <w:bCs/>
          <w:noProof w:val="0"/>
          <w:rtl/>
        </w:rPr>
        <w:t>א.ב.</w:t>
      </w:r>
      <w:r>
        <w:rPr>
          <w:rFonts w:ascii="David" w:hAnsi="David" w:hint="cs"/>
          <w:noProof w:val="0"/>
          <w:rtl/>
        </w:rPr>
        <w:t xml:space="preserve"> לעיל תומך בפרשנותה לתקנה 45, כאשר פסק דין זה אף מוזכר בהחלטת כב' הרשמת מור-אל.</w:t>
      </w:r>
    </w:p>
    <w:p w:rsidR="00DF0A6A" w:rsidRDefault="00DF0A6A">
      <w:pPr>
        <w:bidi w:val="0"/>
        <w:rPr>
          <w:rFonts w:ascii="David" w:hAnsi="David"/>
          <w:noProof w:val="0"/>
        </w:rPr>
      </w:pPr>
      <w:r>
        <w:rPr>
          <w:rFonts w:ascii="David" w:hAnsi="David"/>
          <w:noProof w:val="0"/>
          <w:rtl/>
        </w:rPr>
        <w:br w:type="page"/>
      </w:r>
    </w:p>
    <w:p w:rsidR="00F608CA" w:rsidRPr="00B40998" w:rsidRDefault="00F608CA" w:rsidP="000847A3">
      <w:pPr>
        <w:pStyle w:val="ad"/>
        <w:numPr>
          <w:ilvl w:val="0"/>
          <w:numId w:val="1"/>
        </w:numPr>
        <w:spacing w:after="180" w:line="360" w:lineRule="auto"/>
        <w:ind w:left="652" w:hanging="709"/>
        <w:contextualSpacing w:val="0"/>
        <w:jc w:val="both"/>
        <w:rPr>
          <w:rFonts w:ascii="David" w:hAnsi="David"/>
          <w:noProof w:val="0"/>
          <w:rtl/>
        </w:rPr>
      </w:pPr>
      <w:r w:rsidRPr="00B40998">
        <w:rPr>
          <w:rFonts w:ascii="David" w:hAnsi="David"/>
          <w:noProof w:val="0"/>
          <w:rtl/>
        </w:rPr>
        <w:lastRenderedPageBreak/>
        <w:t xml:space="preserve">עיון בפסק הדין </w:t>
      </w:r>
      <w:r w:rsidRPr="00B40998">
        <w:rPr>
          <w:rFonts w:ascii="David" w:hAnsi="David"/>
          <w:b/>
          <w:bCs/>
          <w:noProof w:val="0"/>
          <w:rtl/>
        </w:rPr>
        <w:t xml:space="preserve">בעניין א.ב. </w:t>
      </w:r>
      <w:r w:rsidRPr="00B40998">
        <w:rPr>
          <w:rFonts w:ascii="David" w:hAnsi="David"/>
          <w:noProof w:val="0"/>
          <w:rtl/>
        </w:rPr>
        <w:t>לעיל מגלה</w:t>
      </w:r>
      <w:r>
        <w:rPr>
          <w:rFonts w:ascii="David" w:hAnsi="David" w:hint="cs"/>
          <w:noProof w:val="0"/>
          <w:rtl/>
        </w:rPr>
        <w:t>,</w:t>
      </w:r>
      <w:r w:rsidRPr="00B40998">
        <w:rPr>
          <w:rFonts w:ascii="David" w:hAnsi="David"/>
          <w:noProof w:val="0"/>
          <w:rtl/>
        </w:rPr>
        <w:t xml:space="preserve"> כי זה אינו מועיל למשיבה</w:t>
      </w:r>
      <w:r>
        <w:rPr>
          <w:rFonts w:ascii="David" w:hAnsi="David" w:hint="cs"/>
          <w:noProof w:val="0"/>
          <w:rtl/>
        </w:rPr>
        <w:t xml:space="preserve"> בסוגיה שלפניי ואינו תומך בפרשנותה לתקנה 45 לתקנות סדרי הדין משפחה</w:t>
      </w:r>
      <w:r w:rsidRPr="00B40998">
        <w:rPr>
          <w:rFonts w:ascii="David" w:hAnsi="David"/>
          <w:noProof w:val="0"/>
          <w:rtl/>
        </w:rPr>
        <w:t xml:space="preserve">. פסק הדין </w:t>
      </w:r>
      <w:r w:rsidRPr="00B40998">
        <w:rPr>
          <w:rFonts w:ascii="David" w:hAnsi="David"/>
          <w:b/>
          <w:bCs/>
          <w:noProof w:val="0"/>
          <w:rtl/>
        </w:rPr>
        <w:t>בעניין א.ב.</w:t>
      </w:r>
      <w:r w:rsidRPr="00B40998">
        <w:rPr>
          <w:rFonts w:ascii="David" w:hAnsi="David"/>
          <w:noProof w:val="0"/>
          <w:rtl/>
        </w:rPr>
        <w:t xml:space="preserve"> עוסק במצב </w:t>
      </w:r>
      <w:r w:rsidRPr="004D0632">
        <w:rPr>
          <w:rFonts w:ascii="David" w:hAnsi="David"/>
          <w:b/>
          <w:bCs/>
          <w:noProof w:val="0"/>
          <w:rtl/>
        </w:rPr>
        <w:t>שקדם</w:t>
      </w:r>
      <w:r w:rsidRPr="00B40998">
        <w:rPr>
          <w:rFonts w:ascii="David" w:hAnsi="David"/>
          <w:noProof w:val="0"/>
          <w:rtl/>
        </w:rPr>
        <w:t xml:space="preserve"> לתיקון 2022, כאשר תקנה 45 שללה רק את תחולת תקנה 137(א) ולא את תחולת 137(ב).</w:t>
      </w:r>
    </w:p>
    <w:p w:rsidR="00F608CA" w:rsidRDefault="00F608CA" w:rsidP="00F608CA">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במצב זה</w:t>
      </w:r>
      <w:r w:rsidR="000847A3">
        <w:rPr>
          <w:rFonts w:ascii="David" w:hAnsi="David" w:hint="cs"/>
          <w:noProof w:val="0"/>
          <w:rtl/>
        </w:rPr>
        <w:t xml:space="preserve"> שקדם לתיקון 2022</w:t>
      </w:r>
      <w:r w:rsidRPr="00B40998">
        <w:rPr>
          <w:rFonts w:ascii="David" w:hAnsi="David"/>
          <w:noProof w:val="0"/>
          <w:rtl/>
        </w:rPr>
        <w:t xml:space="preserve"> אכן היה עיגון לשוני ל</w:t>
      </w:r>
      <w:r>
        <w:rPr>
          <w:rFonts w:ascii="David" w:hAnsi="David" w:hint="cs"/>
          <w:noProof w:val="0"/>
          <w:rtl/>
        </w:rPr>
        <w:t>אפשרות ל</w:t>
      </w:r>
      <w:r w:rsidRPr="00B40998">
        <w:rPr>
          <w:rFonts w:ascii="David" w:hAnsi="David"/>
          <w:noProof w:val="0"/>
          <w:rtl/>
        </w:rPr>
        <w:t>הגשת ערעור מטעם המשיב במועד שלאחר הגשת הערעור הראשון, והמחלוקת נסובה</w:t>
      </w:r>
      <w:r>
        <w:rPr>
          <w:rFonts w:ascii="David" w:hAnsi="David" w:hint="cs"/>
          <w:noProof w:val="0"/>
          <w:rtl/>
        </w:rPr>
        <w:t xml:space="preserve"> </w:t>
      </w:r>
      <w:r w:rsidR="005F1FAE">
        <w:rPr>
          <w:rFonts w:ascii="David" w:hAnsi="David" w:hint="cs"/>
          <w:noProof w:val="0"/>
          <w:rtl/>
        </w:rPr>
        <w:t xml:space="preserve">שם רק </w:t>
      </w:r>
      <w:r>
        <w:rPr>
          <w:rFonts w:ascii="David" w:hAnsi="David" w:hint="cs"/>
          <w:noProof w:val="0"/>
          <w:rtl/>
        </w:rPr>
        <w:t>על הסוגיה,</w:t>
      </w:r>
      <w:r w:rsidRPr="00B40998">
        <w:rPr>
          <w:rFonts w:ascii="David" w:hAnsi="David"/>
          <w:noProof w:val="0"/>
          <w:rtl/>
        </w:rPr>
        <w:t xml:space="preserve"> האם מדובר על</w:t>
      </w:r>
      <w:r>
        <w:rPr>
          <w:rFonts w:ascii="David" w:hAnsi="David" w:hint="cs"/>
          <w:noProof w:val="0"/>
          <w:rtl/>
        </w:rPr>
        <w:t xml:space="preserve"> תקופה של </w:t>
      </w:r>
      <w:r w:rsidRPr="00B40998">
        <w:rPr>
          <w:rFonts w:ascii="David" w:hAnsi="David"/>
          <w:noProof w:val="0"/>
          <w:rtl/>
        </w:rPr>
        <w:t>60 יום או</w:t>
      </w:r>
      <w:r>
        <w:rPr>
          <w:rFonts w:ascii="David" w:hAnsi="David" w:hint="cs"/>
          <w:noProof w:val="0"/>
          <w:rtl/>
        </w:rPr>
        <w:t xml:space="preserve"> של</w:t>
      </w:r>
      <w:r w:rsidRPr="00B40998">
        <w:rPr>
          <w:rFonts w:ascii="David" w:hAnsi="David"/>
          <w:noProof w:val="0"/>
          <w:rtl/>
        </w:rPr>
        <w:t xml:space="preserve"> 45 יום, כאשר בית המשפט שם קבע כי המועד</w:t>
      </w:r>
      <w:r>
        <w:rPr>
          <w:rFonts w:ascii="David" w:hAnsi="David" w:hint="cs"/>
          <w:noProof w:val="0"/>
          <w:rtl/>
        </w:rPr>
        <w:t xml:space="preserve"> להגשת ערעור משיב</w:t>
      </w:r>
      <w:r w:rsidRPr="00B40998">
        <w:rPr>
          <w:rFonts w:ascii="David" w:hAnsi="David"/>
          <w:noProof w:val="0"/>
          <w:rtl/>
        </w:rPr>
        <w:t xml:space="preserve"> הינו 45 </w:t>
      </w:r>
      <w:r>
        <w:rPr>
          <w:rFonts w:ascii="David" w:hAnsi="David" w:hint="cs"/>
          <w:noProof w:val="0"/>
          <w:rtl/>
        </w:rPr>
        <w:t>יום.</w:t>
      </w:r>
    </w:p>
    <w:p w:rsidR="00F608CA" w:rsidRPr="00B40998" w:rsidRDefault="00F608CA" w:rsidP="00F608CA">
      <w:pPr>
        <w:pStyle w:val="ad"/>
        <w:spacing w:after="180" w:line="360" w:lineRule="auto"/>
        <w:ind w:left="652"/>
        <w:contextualSpacing w:val="0"/>
        <w:jc w:val="both"/>
        <w:rPr>
          <w:rFonts w:ascii="David" w:hAnsi="David"/>
          <w:noProof w:val="0"/>
        </w:rPr>
      </w:pPr>
      <w:r w:rsidRPr="00B40998">
        <w:rPr>
          <w:rFonts w:ascii="David" w:hAnsi="David"/>
          <w:noProof w:val="0"/>
          <w:rtl/>
        </w:rPr>
        <w:t>אולם</w:t>
      </w:r>
      <w:r>
        <w:rPr>
          <w:rFonts w:ascii="David" w:hAnsi="David" w:hint="cs"/>
          <w:noProof w:val="0"/>
          <w:rtl/>
        </w:rPr>
        <w:t>, וזה העיקר לעניין שלפניי,</w:t>
      </w:r>
      <w:r w:rsidRPr="00B40998">
        <w:rPr>
          <w:rFonts w:ascii="David" w:hAnsi="David"/>
          <w:noProof w:val="0"/>
          <w:rtl/>
        </w:rPr>
        <w:t xml:space="preserve"> פסק הדין </w:t>
      </w:r>
      <w:r w:rsidRPr="0072674A">
        <w:rPr>
          <w:rFonts w:ascii="David" w:hAnsi="David" w:hint="cs"/>
          <w:b/>
          <w:bCs/>
          <w:noProof w:val="0"/>
          <w:rtl/>
        </w:rPr>
        <w:t>בעניין א.ב.</w:t>
      </w:r>
      <w:r>
        <w:rPr>
          <w:rFonts w:ascii="David" w:hAnsi="David" w:hint="cs"/>
          <w:noProof w:val="0"/>
          <w:rtl/>
        </w:rPr>
        <w:t xml:space="preserve"> לעיל </w:t>
      </w:r>
      <w:r w:rsidRPr="00F608CA">
        <w:rPr>
          <w:rFonts w:ascii="David" w:hAnsi="David"/>
          <w:b/>
          <w:bCs/>
          <w:noProof w:val="0"/>
          <w:rtl/>
        </w:rPr>
        <w:t>אינו</w:t>
      </w:r>
      <w:r w:rsidRPr="00B40998">
        <w:rPr>
          <w:rFonts w:ascii="David" w:hAnsi="David"/>
          <w:noProof w:val="0"/>
          <w:rtl/>
        </w:rPr>
        <w:t xml:space="preserve"> עוסק במצב שנוצר </w:t>
      </w:r>
      <w:r w:rsidRPr="0072674A">
        <w:rPr>
          <w:rFonts w:ascii="David" w:hAnsi="David"/>
          <w:b/>
          <w:bCs/>
          <w:noProof w:val="0"/>
          <w:rtl/>
        </w:rPr>
        <w:t>לאחר</w:t>
      </w:r>
      <w:r w:rsidRPr="00B40998">
        <w:rPr>
          <w:rFonts w:ascii="David" w:hAnsi="David"/>
          <w:noProof w:val="0"/>
          <w:rtl/>
        </w:rPr>
        <w:t xml:space="preserve"> </w:t>
      </w:r>
      <w:r>
        <w:rPr>
          <w:rFonts w:ascii="David" w:hAnsi="David" w:hint="cs"/>
          <w:noProof w:val="0"/>
          <w:rtl/>
        </w:rPr>
        <w:t xml:space="preserve">תיקון 2022, כאשר </w:t>
      </w:r>
      <w:r w:rsidRPr="00B40998">
        <w:rPr>
          <w:rFonts w:ascii="David" w:hAnsi="David"/>
          <w:noProof w:val="0"/>
          <w:rtl/>
        </w:rPr>
        <w:t xml:space="preserve">מחוקק </w:t>
      </w:r>
      <w:r>
        <w:rPr>
          <w:rFonts w:ascii="David" w:hAnsi="David" w:hint="cs"/>
          <w:noProof w:val="0"/>
          <w:rtl/>
        </w:rPr>
        <w:t xml:space="preserve">המשנה </w:t>
      </w:r>
      <w:r w:rsidRPr="00B40998">
        <w:rPr>
          <w:rFonts w:ascii="David" w:hAnsi="David"/>
          <w:noProof w:val="0"/>
          <w:rtl/>
        </w:rPr>
        <w:t>קבע כי גם תקנה 137(ב)</w:t>
      </w:r>
      <w:r>
        <w:rPr>
          <w:rFonts w:ascii="David" w:hAnsi="David"/>
          <w:noProof w:val="0"/>
          <w:rtl/>
        </w:rPr>
        <w:t xml:space="preserve"> לא תחול</w:t>
      </w:r>
      <w:r w:rsidR="005F1FAE">
        <w:rPr>
          <w:rFonts w:ascii="David" w:hAnsi="David" w:hint="cs"/>
          <w:noProof w:val="0"/>
          <w:rtl/>
        </w:rPr>
        <w:t xml:space="preserve"> על ענייני משפחה ומכאן הוא אינו רלוונטי.</w:t>
      </w:r>
    </w:p>
    <w:p w:rsidR="00600811" w:rsidRPr="00B40998" w:rsidRDefault="00600811" w:rsidP="00B40998">
      <w:pPr>
        <w:spacing w:after="180" w:line="360" w:lineRule="auto"/>
        <w:ind w:left="-57"/>
        <w:jc w:val="both"/>
        <w:rPr>
          <w:rFonts w:ascii="David" w:hAnsi="David"/>
          <w:b/>
          <w:bCs/>
          <w:noProof w:val="0"/>
          <w:u w:val="single"/>
        </w:rPr>
      </w:pPr>
      <w:r w:rsidRPr="00B40998">
        <w:rPr>
          <w:rFonts w:ascii="David" w:hAnsi="David"/>
          <w:b/>
          <w:bCs/>
          <w:noProof w:val="0"/>
          <w:u w:val="single"/>
          <w:rtl/>
        </w:rPr>
        <w:t>שיקולי צדק</w:t>
      </w:r>
    </w:p>
    <w:p w:rsidR="00600811" w:rsidRPr="00B40998" w:rsidRDefault="00600811" w:rsidP="00620001">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הטיעון האחרון של המשיבה הינו</w:t>
      </w:r>
      <w:r w:rsidR="00620001">
        <w:rPr>
          <w:rFonts w:ascii="David" w:hAnsi="David" w:hint="cs"/>
          <w:noProof w:val="0"/>
          <w:rtl/>
        </w:rPr>
        <w:t>,</w:t>
      </w:r>
      <w:r w:rsidRPr="00B40998">
        <w:rPr>
          <w:rFonts w:ascii="David" w:hAnsi="David"/>
          <w:noProof w:val="0"/>
          <w:rtl/>
        </w:rPr>
        <w:t xml:space="preserve"> כי מטרת העל של תקנות סדר הדין לענייני משפחה הינה </w:t>
      </w:r>
      <w:r w:rsidR="00976ADF" w:rsidRPr="00B40998">
        <w:rPr>
          <w:rFonts w:ascii="David" w:hAnsi="David"/>
          <w:noProof w:val="0"/>
          <w:rtl/>
        </w:rPr>
        <w:t>לעשות צדק, כך שאין זה צודק וראוי למנוע מהמשיבה להביא את טענותיה של</w:t>
      </w:r>
      <w:r w:rsidR="00620001">
        <w:rPr>
          <w:rFonts w:ascii="David" w:hAnsi="David" w:hint="cs"/>
          <w:noProof w:val="0"/>
          <w:rtl/>
        </w:rPr>
        <w:t>ה</w:t>
      </w:r>
      <w:r w:rsidR="00976ADF" w:rsidRPr="00B40998">
        <w:rPr>
          <w:rFonts w:ascii="David" w:hAnsi="David"/>
          <w:noProof w:val="0"/>
          <w:rtl/>
        </w:rPr>
        <w:t xml:space="preserve"> בפני בית המשפט של ערעור וראוי שי</w:t>
      </w:r>
      <w:r w:rsidR="00620001">
        <w:rPr>
          <w:rFonts w:ascii="David" w:hAnsi="David" w:hint="cs"/>
          <w:noProof w:val="0"/>
          <w:rtl/>
        </w:rPr>
        <w:t>היה</w:t>
      </w:r>
      <w:r w:rsidR="00976ADF" w:rsidRPr="00B40998">
        <w:rPr>
          <w:rFonts w:ascii="David" w:hAnsi="David"/>
          <w:noProof w:val="0"/>
          <w:rtl/>
        </w:rPr>
        <w:t xml:space="preserve"> "</w:t>
      </w:r>
      <w:r w:rsidR="00620001">
        <w:rPr>
          <w:rFonts w:ascii="David" w:hAnsi="David"/>
          <w:noProof w:val="0"/>
        </w:rPr>
        <w:t>fair fight</w:t>
      </w:r>
      <w:r w:rsidR="00976ADF" w:rsidRPr="00B40998">
        <w:rPr>
          <w:rFonts w:ascii="David" w:hAnsi="David"/>
          <w:noProof w:val="0"/>
          <w:rtl/>
        </w:rPr>
        <w:t xml:space="preserve">" </w:t>
      </w:r>
      <w:r w:rsidR="00620001">
        <w:rPr>
          <w:rFonts w:ascii="David" w:hAnsi="David" w:hint="cs"/>
          <w:noProof w:val="0"/>
          <w:rtl/>
        </w:rPr>
        <w:t xml:space="preserve">כלשונה </w:t>
      </w:r>
      <w:r w:rsidR="00976ADF" w:rsidRPr="00B40998">
        <w:rPr>
          <w:rFonts w:ascii="David" w:hAnsi="David"/>
          <w:noProof w:val="0"/>
          <w:rtl/>
        </w:rPr>
        <w:t>בערכאת הערעור</w:t>
      </w:r>
      <w:r w:rsidR="00620001">
        <w:rPr>
          <w:rFonts w:ascii="David" w:hAnsi="David" w:hint="cs"/>
          <w:noProof w:val="0"/>
          <w:rtl/>
        </w:rPr>
        <w:t>,</w:t>
      </w:r>
      <w:r w:rsidR="00976ADF" w:rsidRPr="00B40998">
        <w:rPr>
          <w:rFonts w:ascii="David" w:hAnsi="David"/>
          <w:noProof w:val="0"/>
          <w:rtl/>
        </w:rPr>
        <w:t xml:space="preserve"> בו לשני הצדדים ההזדמנות </w:t>
      </w:r>
      <w:r w:rsidR="00620001">
        <w:rPr>
          <w:rFonts w:ascii="David" w:hAnsi="David" w:hint="cs"/>
          <w:noProof w:val="0"/>
          <w:rtl/>
        </w:rPr>
        <w:t xml:space="preserve">שווה </w:t>
      </w:r>
      <w:r w:rsidR="00976ADF" w:rsidRPr="00B40998">
        <w:rPr>
          <w:rFonts w:ascii="David" w:hAnsi="David"/>
          <w:noProof w:val="0"/>
          <w:rtl/>
        </w:rPr>
        <w:t>להציג את טענותיהם.</w:t>
      </w:r>
    </w:p>
    <w:p w:rsidR="00976ADF" w:rsidRPr="00B40998" w:rsidRDefault="00976ADF" w:rsidP="00B40998">
      <w:pPr>
        <w:pStyle w:val="ad"/>
        <w:spacing w:after="180" w:line="360" w:lineRule="auto"/>
        <w:ind w:left="652"/>
        <w:contextualSpacing w:val="0"/>
        <w:jc w:val="both"/>
        <w:rPr>
          <w:rFonts w:ascii="David" w:hAnsi="David"/>
          <w:noProof w:val="0"/>
        </w:rPr>
      </w:pPr>
      <w:r w:rsidRPr="00B40998">
        <w:rPr>
          <w:rFonts w:ascii="David" w:hAnsi="David"/>
          <w:noProof w:val="0"/>
          <w:rtl/>
        </w:rPr>
        <w:t>איני סבור שיש בטענה זו בכדי להשפיע על פרשנות תקנה 45 לעיל, ואבאר.</w:t>
      </w:r>
    </w:p>
    <w:p w:rsidR="00976ADF" w:rsidRPr="00B40998" w:rsidRDefault="00976ADF"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 xml:space="preserve">ראשית יש להפריד בין שיקולי הצדק בתיק </w:t>
      </w:r>
      <w:r w:rsidRPr="00620001">
        <w:rPr>
          <w:rFonts w:ascii="David" w:hAnsi="David"/>
          <w:b/>
          <w:bCs/>
          <w:noProof w:val="0"/>
          <w:rtl/>
        </w:rPr>
        <w:t>הספציפי</w:t>
      </w:r>
      <w:r w:rsidRPr="00B40998">
        <w:rPr>
          <w:rFonts w:ascii="David" w:hAnsi="David"/>
          <w:noProof w:val="0"/>
          <w:rtl/>
        </w:rPr>
        <w:t xml:space="preserve"> הזה לבין שיקולי הצדק </w:t>
      </w:r>
      <w:r w:rsidRPr="00620001">
        <w:rPr>
          <w:rFonts w:ascii="David" w:hAnsi="David"/>
          <w:b/>
          <w:bCs/>
          <w:noProof w:val="0"/>
          <w:rtl/>
        </w:rPr>
        <w:t>הכלליים</w:t>
      </w:r>
      <w:r w:rsidRPr="00B40998">
        <w:rPr>
          <w:rFonts w:ascii="David" w:hAnsi="David"/>
          <w:noProof w:val="0"/>
          <w:rtl/>
        </w:rPr>
        <w:t xml:space="preserve"> של פרשנות התקנה.</w:t>
      </w:r>
    </w:p>
    <w:p w:rsidR="00976ADF" w:rsidRPr="00B40998" w:rsidRDefault="00976ADF"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לעניין פרשנות התקנה באופן כללי, תקנה 1 לתקנות סדרי הדין משפחה, קובעת, בין היתר:</w:t>
      </w:r>
    </w:p>
    <w:p w:rsidR="00976ADF" w:rsidRPr="00B40998" w:rsidRDefault="00976ADF" w:rsidP="00A201C8">
      <w:pPr>
        <w:pStyle w:val="ad"/>
        <w:spacing w:after="180" w:line="360" w:lineRule="auto"/>
        <w:ind w:left="1134" w:right="567"/>
        <w:contextualSpacing w:val="0"/>
        <w:jc w:val="both"/>
        <w:rPr>
          <w:rFonts w:ascii="David" w:hAnsi="David"/>
          <w:b/>
          <w:bCs/>
          <w:noProof w:val="0"/>
          <w:rtl/>
        </w:rPr>
      </w:pPr>
      <w:r w:rsidRPr="00B40998">
        <w:rPr>
          <w:rFonts w:ascii="David" w:hAnsi="David"/>
          <w:b/>
          <w:bCs/>
          <w:noProof w:val="0"/>
          <w:rtl/>
        </w:rPr>
        <w:t>"בית המשפט רשאי לסטות מהוראות סדר הדין האזרחי ולנהוג בדרך הנראית לו הטובה ביותר לעשיית משפט צדק לפי סעיף 8 לחוק."</w:t>
      </w:r>
    </w:p>
    <w:p w:rsidR="00CA4DC5" w:rsidRPr="00B40998" w:rsidRDefault="00976ADF"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כלומר, תקנה זו מאפשרת לבית המשפט לסטות מהוראות התקנות ל</w:t>
      </w:r>
      <w:r w:rsidR="00620001">
        <w:rPr>
          <w:rFonts w:ascii="David" w:hAnsi="David" w:hint="cs"/>
          <w:noProof w:val="0"/>
          <w:rtl/>
        </w:rPr>
        <w:t xml:space="preserve">צורך </w:t>
      </w:r>
      <w:r w:rsidRPr="00B40998">
        <w:rPr>
          <w:rFonts w:ascii="David" w:hAnsi="David"/>
          <w:noProof w:val="0"/>
          <w:rtl/>
        </w:rPr>
        <w:t>עשיית צדק, אולם היא לא יכולה לשמש כלי פרשני לפרשנות התקנות באופן כללי במקרה שלפניי.</w:t>
      </w:r>
    </w:p>
    <w:p w:rsidR="00976ADF" w:rsidRPr="00B40998" w:rsidRDefault="00976ADF" w:rsidP="005F1FAE">
      <w:pPr>
        <w:pStyle w:val="ad"/>
        <w:spacing w:after="180" w:line="360" w:lineRule="auto"/>
        <w:ind w:left="652"/>
        <w:contextualSpacing w:val="0"/>
        <w:jc w:val="both"/>
        <w:rPr>
          <w:rFonts w:ascii="David" w:hAnsi="David"/>
          <w:noProof w:val="0"/>
          <w:rtl/>
        </w:rPr>
      </w:pPr>
      <w:r w:rsidRPr="00B40998">
        <w:rPr>
          <w:rFonts w:ascii="David" w:hAnsi="David"/>
          <w:noProof w:val="0"/>
          <w:rtl/>
        </w:rPr>
        <w:t>במקרה שלפניי מדוב</w:t>
      </w:r>
      <w:r w:rsidR="002F6D6E" w:rsidRPr="00B40998">
        <w:rPr>
          <w:rFonts w:ascii="David" w:hAnsi="David"/>
          <w:noProof w:val="0"/>
          <w:rtl/>
        </w:rPr>
        <w:t xml:space="preserve">ר בשאלה </w:t>
      </w:r>
      <w:r w:rsidR="002F6D6E" w:rsidRPr="00620001">
        <w:rPr>
          <w:rFonts w:ascii="David" w:hAnsi="David"/>
          <w:b/>
          <w:bCs/>
          <w:noProof w:val="0"/>
          <w:rtl/>
        </w:rPr>
        <w:t>רוחבית</w:t>
      </w:r>
      <w:r w:rsidR="002F6D6E" w:rsidRPr="00B40998">
        <w:rPr>
          <w:rFonts w:ascii="David" w:hAnsi="David"/>
          <w:noProof w:val="0"/>
          <w:rtl/>
        </w:rPr>
        <w:t xml:space="preserve"> של </w:t>
      </w:r>
      <w:r w:rsidR="00620001">
        <w:rPr>
          <w:rFonts w:ascii="David" w:hAnsi="David" w:hint="cs"/>
          <w:noProof w:val="0"/>
          <w:rtl/>
        </w:rPr>
        <w:t>ה</w:t>
      </w:r>
      <w:r w:rsidR="002F6D6E" w:rsidRPr="00B40998">
        <w:rPr>
          <w:rFonts w:ascii="David" w:hAnsi="David"/>
          <w:noProof w:val="0"/>
          <w:rtl/>
        </w:rPr>
        <w:t>אפשרות להגשת ערעור משיב בחלוף 45 יום מיום ההמצאה, האם ניתן לומר כי פרשנות אחת עושה צדק לעומת הפרשנות האחרת</w:t>
      </w:r>
      <w:r w:rsidR="005F1FAE">
        <w:rPr>
          <w:rFonts w:ascii="David" w:hAnsi="David" w:hint="cs"/>
          <w:noProof w:val="0"/>
          <w:rtl/>
        </w:rPr>
        <w:t xml:space="preserve"> כאשר מדובר על כלל התיקים</w:t>
      </w:r>
      <w:r w:rsidR="002F6D6E" w:rsidRPr="00B40998">
        <w:rPr>
          <w:rFonts w:ascii="David" w:hAnsi="David"/>
          <w:noProof w:val="0"/>
          <w:rtl/>
        </w:rPr>
        <w:t>? לטעמי לא. בשני הדרכים הפרשנויות נעשה משפט צדק, כאשר לצדדים שמורה הדרך לכלכל את צעדיהם בהתאם לפרשנות שנקבעה</w:t>
      </w:r>
      <w:r w:rsidR="00620001">
        <w:rPr>
          <w:rFonts w:ascii="David" w:hAnsi="David" w:hint="cs"/>
          <w:noProof w:val="0"/>
          <w:rtl/>
        </w:rPr>
        <w:t xml:space="preserve"> כאן</w:t>
      </w:r>
      <w:r w:rsidR="002F6D6E" w:rsidRPr="00B40998">
        <w:rPr>
          <w:rFonts w:ascii="David" w:hAnsi="David"/>
          <w:noProof w:val="0"/>
          <w:rtl/>
        </w:rPr>
        <w:t>.</w:t>
      </w:r>
    </w:p>
    <w:p w:rsidR="002F6D6E" w:rsidRPr="00B40998" w:rsidRDefault="002F6D6E"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lastRenderedPageBreak/>
        <w:t>אטעים את אשר הדגשתי לעיל, הפרשנות אותה קבעתי</w:t>
      </w:r>
      <w:r w:rsidR="00620001">
        <w:rPr>
          <w:rFonts w:ascii="David" w:hAnsi="David" w:hint="cs"/>
          <w:noProof w:val="0"/>
          <w:rtl/>
        </w:rPr>
        <w:t>,</w:t>
      </w:r>
      <w:r w:rsidRPr="00B40998">
        <w:rPr>
          <w:rFonts w:ascii="David" w:hAnsi="David"/>
          <w:noProof w:val="0"/>
          <w:rtl/>
        </w:rPr>
        <w:t xml:space="preserve"> אינה מונעת הגשת ערעור על ידי מי מהצדדים, אלא רק תוחמת את מסגרת הזמן להגישו.</w:t>
      </w:r>
    </w:p>
    <w:p w:rsidR="002F6D6E" w:rsidRPr="00B40998" w:rsidRDefault="002F6D6E" w:rsidP="00B40998">
      <w:pPr>
        <w:pStyle w:val="ad"/>
        <w:spacing w:after="180" w:line="360" w:lineRule="auto"/>
        <w:ind w:left="652"/>
        <w:contextualSpacing w:val="0"/>
        <w:jc w:val="both"/>
        <w:rPr>
          <w:rFonts w:ascii="David" w:hAnsi="David"/>
          <w:noProof w:val="0"/>
          <w:rtl/>
        </w:rPr>
      </w:pPr>
      <w:r w:rsidRPr="00B40998">
        <w:rPr>
          <w:rFonts w:ascii="David" w:hAnsi="David"/>
          <w:noProof w:val="0"/>
          <w:rtl/>
        </w:rPr>
        <w:t>לפיכך, איני סבור כי "עשיית הצדק" במקרה זה יש בה לתמוך במי מהפרשנויות</w:t>
      </w:r>
      <w:r w:rsidR="00620001">
        <w:rPr>
          <w:rFonts w:ascii="David" w:hAnsi="David" w:hint="cs"/>
          <w:noProof w:val="0"/>
          <w:rtl/>
        </w:rPr>
        <w:t>,</w:t>
      </w:r>
      <w:r w:rsidRPr="00B40998">
        <w:rPr>
          <w:rFonts w:ascii="David" w:hAnsi="David"/>
          <w:noProof w:val="0"/>
          <w:rtl/>
        </w:rPr>
        <w:t xml:space="preserve"> ואין בה להשפיע על מישור הפרשנות הכללית</w:t>
      </w:r>
      <w:r w:rsidR="00620001">
        <w:rPr>
          <w:rFonts w:ascii="David" w:hAnsi="David" w:hint="cs"/>
          <w:noProof w:val="0"/>
          <w:rtl/>
        </w:rPr>
        <w:t xml:space="preserve"> של התקנה</w:t>
      </w:r>
      <w:r w:rsidRPr="00B40998">
        <w:rPr>
          <w:rFonts w:ascii="David" w:hAnsi="David"/>
          <w:noProof w:val="0"/>
          <w:rtl/>
        </w:rPr>
        <w:t xml:space="preserve">. </w:t>
      </w:r>
    </w:p>
    <w:p w:rsidR="00976ADF" w:rsidRDefault="002F6D6E" w:rsidP="005F1FAE">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ביחס למקרה הפרטני של המשיבה, הרי המסגרת הדיונית שלפניי, ערעור על החלטת כב' הרשמת מור-אל</w:t>
      </w:r>
      <w:r w:rsidR="005F1FAE">
        <w:rPr>
          <w:rFonts w:ascii="David" w:hAnsi="David" w:hint="cs"/>
          <w:noProof w:val="0"/>
          <w:rtl/>
        </w:rPr>
        <w:t xml:space="preserve"> בבקשה למחיקת הערעור (וללא בקשה של המשיבה להארכת מועד להגשתו) </w:t>
      </w:r>
      <w:r w:rsidRPr="00B40998">
        <w:rPr>
          <w:rFonts w:ascii="David" w:hAnsi="David"/>
          <w:noProof w:val="0"/>
          <w:rtl/>
        </w:rPr>
        <w:t xml:space="preserve"> אינ</w:t>
      </w:r>
      <w:r w:rsidR="005F1FAE">
        <w:rPr>
          <w:rFonts w:ascii="David" w:hAnsi="David" w:hint="cs"/>
          <w:noProof w:val="0"/>
          <w:rtl/>
        </w:rPr>
        <w:t>ה</w:t>
      </w:r>
      <w:r w:rsidRPr="00B40998">
        <w:rPr>
          <w:rFonts w:ascii="David" w:hAnsi="David"/>
          <w:noProof w:val="0"/>
          <w:rtl/>
        </w:rPr>
        <w:t xml:space="preserve"> מאפשר לבחון את שיקולי הצדק </w:t>
      </w:r>
      <w:r w:rsidR="00620001">
        <w:rPr>
          <w:rFonts w:ascii="David" w:hAnsi="David" w:hint="cs"/>
          <w:noProof w:val="0"/>
          <w:rtl/>
        </w:rPr>
        <w:t xml:space="preserve">הנטענים </w:t>
      </w:r>
      <w:r w:rsidRPr="00B40998">
        <w:rPr>
          <w:rFonts w:ascii="David" w:hAnsi="David"/>
          <w:noProof w:val="0"/>
          <w:rtl/>
        </w:rPr>
        <w:t>במקרה זה, כאשר אלו לא נטענו בפני ערכאת קמא וממילא לא נידונו שם.</w:t>
      </w:r>
    </w:p>
    <w:p w:rsidR="00620001" w:rsidRPr="00B40998" w:rsidRDefault="00620001" w:rsidP="00620001">
      <w:pPr>
        <w:pStyle w:val="ad"/>
        <w:spacing w:after="180" w:line="360" w:lineRule="auto"/>
        <w:ind w:left="652"/>
        <w:contextualSpacing w:val="0"/>
        <w:jc w:val="both"/>
        <w:rPr>
          <w:rFonts w:ascii="David" w:hAnsi="David"/>
          <w:noProof w:val="0"/>
        </w:rPr>
      </w:pPr>
      <w:r>
        <w:rPr>
          <w:rFonts w:ascii="David" w:hAnsi="David" w:hint="cs"/>
          <w:noProof w:val="0"/>
          <w:rtl/>
        </w:rPr>
        <w:t>יש לזכור לעניין זה, כי אין מדובר בבקשה ל</w:t>
      </w:r>
      <w:r w:rsidR="00B821F7">
        <w:rPr>
          <w:rFonts w:ascii="David" w:hAnsi="David" w:hint="cs"/>
          <w:noProof w:val="0"/>
          <w:rtl/>
        </w:rPr>
        <w:t>ה</w:t>
      </w:r>
      <w:r>
        <w:rPr>
          <w:rFonts w:ascii="David" w:hAnsi="David" w:hint="cs"/>
          <w:noProof w:val="0"/>
          <w:rtl/>
        </w:rPr>
        <w:t>ארכת מועד של המשיבה, אלא בבקשה למחיקת הערעור מטעם המערער.</w:t>
      </w:r>
    </w:p>
    <w:p w:rsidR="00614B4A" w:rsidRPr="00B40998" w:rsidRDefault="00620001" w:rsidP="005F1FAE">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 xml:space="preserve">מכאן, </w:t>
      </w:r>
      <w:r w:rsidR="002F6D6E" w:rsidRPr="00B40998">
        <w:rPr>
          <w:rFonts w:ascii="David" w:hAnsi="David"/>
          <w:noProof w:val="0"/>
          <w:rtl/>
        </w:rPr>
        <w:t>המקום הראוי לבחון את שיקולי הצדק ביחס למשיבה במקרה הקונקרטי של תיק זה הינו בבקשה ל</w:t>
      </w:r>
      <w:r w:rsidR="005F1FAE">
        <w:rPr>
          <w:rFonts w:ascii="David" w:hAnsi="David" w:hint="cs"/>
          <w:noProof w:val="0"/>
          <w:rtl/>
        </w:rPr>
        <w:t>ה</w:t>
      </w:r>
      <w:r w:rsidR="002F6D6E" w:rsidRPr="00B40998">
        <w:rPr>
          <w:rFonts w:ascii="David" w:hAnsi="David"/>
          <w:noProof w:val="0"/>
          <w:rtl/>
        </w:rPr>
        <w:t xml:space="preserve">ארכת מועד להגשת ערעור, במסגרת בקשה שכזו </w:t>
      </w:r>
      <w:r w:rsidR="005F1FAE">
        <w:rPr>
          <w:rFonts w:ascii="David" w:hAnsi="David" w:hint="cs"/>
          <w:noProof w:val="0"/>
          <w:rtl/>
        </w:rPr>
        <w:t xml:space="preserve">יכול </w:t>
      </w:r>
      <w:r w:rsidR="002F6D6E" w:rsidRPr="00B40998">
        <w:rPr>
          <w:rFonts w:ascii="David" w:hAnsi="David"/>
          <w:noProof w:val="0"/>
          <w:rtl/>
        </w:rPr>
        <w:t xml:space="preserve">בית המשפט </w:t>
      </w:r>
      <w:r w:rsidR="005F1FAE">
        <w:rPr>
          <w:rFonts w:ascii="David" w:hAnsi="David" w:hint="cs"/>
          <w:noProof w:val="0"/>
          <w:rtl/>
        </w:rPr>
        <w:t xml:space="preserve">להביא בחשבון </w:t>
      </w:r>
      <w:r w:rsidR="002F6D6E" w:rsidRPr="00B40998">
        <w:rPr>
          <w:rFonts w:ascii="David" w:hAnsi="David"/>
          <w:noProof w:val="0"/>
          <w:rtl/>
        </w:rPr>
        <w:t>את השיקולים הפרטניים של המשיבה, לרבות הע</w:t>
      </w:r>
      <w:r w:rsidR="00614B4A" w:rsidRPr="00B40998">
        <w:rPr>
          <w:rFonts w:ascii="David" w:hAnsi="David"/>
          <w:noProof w:val="0"/>
          <w:rtl/>
        </w:rPr>
        <w:t>ובדה כי</w:t>
      </w:r>
      <w:r w:rsidR="005F1FAE">
        <w:rPr>
          <w:rFonts w:ascii="David" w:hAnsi="David"/>
          <w:noProof w:val="0"/>
          <w:rtl/>
        </w:rPr>
        <w:t xml:space="preserve"> מדובר בפרשנות תקדימית לתקנה 45</w:t>
      </w:r>
      <w:r w:rsidR="005F1FAE">
        <w:rPr>
          <w:rFonts w:ascii="David" w:hAnsi="David" w:hint="cs"/>
          <w:noProof w:val="0"/>
          <w:rtl/>
        </w:rPr>
        <w:t xml:space="preserve"> וכן שיקולי צדק מכוח תקנה 1 לתקנות סדרי הדין משפחה.</w:t>
      </w:r>
    </w:p>
    <w:p w:rsidR="00614B4A" w:rsidRPr="00B40998" w:rsidRDefault="00614B4A" w:rsidP="00DF0A6A">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לא נעלם מעיני כי בקשה לארכת מועד מטעם המשיבה כבר נדחתה, אולם אני סבור, כי בנסיבות תיק זה, לאור מועד תחולתו החד</w:t>
      </w:r>
      <w:r w:rsidR="00620001">
        <w:rPr>
          <w:rFonts w:ascii="David" w:hAnsi="David" w:hint="cs"/>
          <w:noProof w:val="0"/>
          <w:rtl/>
        </w:rPr>
        <w:t>שה</w:t>
      </w:r>
      <w:r w:rsidRPr="00B40998">
        <w:rPr>
          <w:rFonts w:ascii="David" w:hAnsi="David"/>
          <w:noProof w:val="0"/>
          <w:rtl/>
        </w:rPr>
        <w:t xml:space="preserve"> יחסית של תיקון 2022, ולאור הע</w:t>
      </w:r>
      <w:r w:rsidR="00965521">
        <w:rPr>
          <w:rFonts w:ascii="David" w:hAnsi="David" w:hint="cs"/>
          <w:noProof w:val="0"/>
          <w:rtl/>
        </w:rPr>
        <w:t>ו</w:t>
      </w:r>
      <w:r w:rsidRPr="00B40998">
        <w:rPr>
          <w:rFonts w:ascii="David" w:hAnsi="David"/>
          <w:noProof w:val="0"/>
          <w:rtl/>
        </w:rPr>
        <w:t xml:space="preserve">בדה כי אין פסיקה קודמת בעניין פרשנות התיקון, </w:t>
      </w:r>
      <w:r w:rsidR="00965521">
        <w:rPr>
          <w:rFonts w:ascii="David" w:hAnsi="David" w:hint="cs"/>
          <w:noProof w:val="0"/>
          <w:rtl/>
        </w:rPr>
        <w:t>ה</w:t>
      </w:r>
      <w:r w:rsidRPr="00B40998">
        <w:rPr>
          <w:rFonts w:ascii="David" w:hAnsi="David"/>
          <w:noProof w:val="0"/>
          <w:rtl/>
        </w:rPr>
        <w:t>משיבה</w:t>
      </w:r>
      <w:r w:rsidR="00965521">
        <w:rPr>
          <w:rFonts w:ascii="David" w:hAnsi="David" w:hint="cs"/>
          <w:noProof w:val="0"/>
          <w:rtl/>
        </w:rPr>
        <w:t xml:space="preserve"> יכולה</w:t>
      </w:r>
      <w:r w:rsidRPr="00B40998">
        <w:rPr>
          <w:rFonts w:ascii="David" w:hAnsi="David"/>
          <w:noProof w:val="0"/>
          <w:rtl/>
        </w:rPr>
        <w:t xml:space="preserve"> להגיש בקשה חדשה לארכת מועד, אשר תידון לפי הפרטים הקונקרטיים של מקרה</w:t>
      </w:r>
      <w:r w:rsidR="00965521">
        <w:rPr>
          <w:rFonts w:ascii="David" w:hAnsi="David" w:hint="cs"/>
          <w:noProof w:val="0"/>
          <w:rtl/>
        </w:rPr>
        <w:t xml:space="preserve"> זה</w:t>
      </w:r>
      <w:r w:rsidRPr="00B40998">
        <w:rPr>
          <w:rFonts w:ascii="David" w:hAnsi="David"/>
          <w:noProof w:val="0"/>
          <w:rtl/>
        </w:rPr>
        <w:t>, ואינ</w:t>
      </w:r>
      <w:r w:rsidR="00DF0A6A">
        <w:rPr>
          <w:rFonts w:ascii="David" w:hAnsi="David" w:hint="cs"/>
          <w:noProof w:val="0"/>
          <w:rtl/>
        </w:rPr>
        <w:t>י</w:t>
      </w:r>
      <w:r w:rsidRPr="00B40998">
        <w:rPr>
          <w:rFonts w:ascii="David" w:hAnsi="David"/>
          <w:noProof w:val="0"/>
          <w:rtl/>
        </w:rPr>
        <w:t xml:space="preserve"> מחווה דעתי בעניינה</w:t>
      </w:r>
      <w:r w:rsidR="00DF0A6A">
        <w:rPr>
          <w:rFonts w:ascii="David" w:hAnsi="David" w:hint="cs"/>
          <w:noProof w:val="0"/>
          <w:rtl/>
        </w:rPr>
        <w:t xml:space="preserve"> של בקשה שכזו</w:t>
      </w:r>
      <w:r w:rsidR="00965521">
        <w:rPr>
          <w:rFonts w:ascii="David" w:hAnsi="David" w:hint="cs"/>
          <w:noProof w:val="0"/>
          <w:rtl/>
        </w:rPr>
        <w:t>, ככל שתוגש</w:t>
      </w:r>
      <w:r w:rsidRPr="00B40998">
        <w:rPr>
          <w:rFonts w:ascii="David" w:hAnsi="David"/>
          <w:noProof w:val="0"/>
          <w:rtl/>
        </w:rPr>
        <w:t>.</w:t>
      </w:r>
    </w:p>
    <w:p w:rsidR="00614B4A" w:rsidRPr="00B40998" w:rsidRDefault="00614B4A" w:rsidP="00B40998">
      <w:pPr>
        <w:spacing w:after="180" w:line="360" w:lineRule="auto"/>
        <w:ind w:left="-57"/>
        <w:jc w:val="both"/>
        <w:rPr>
          <w:rFonts w:ascii="David" w:hAnsi="David"/>
          <w:b/>
          <w:bCs/>
          <w:noProof w:val="0"/>
          <w:u w:val="single"/>
        </w:rPr>
      </w:pPr>
      <w:r w:rsidRPr="00B40998">
        <w:rPr>
          <w:rFonts w:ascii="David" w:hAnsi="David"/>
          <w:b/>
          <w:bCs/>
          <w:noProof w:val="0"/>
          <w:u w:val="single"/>
          <w:rtl/>
        </w:rPr>
        <w:t>סיכום</w:t>
      </w:r>
    </w:p>
    <w:p w:rsidR="00614B4A" w:rsidRPr="00B40998" w:rsidRDefault="00614B4A"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לאור האמור והמנומק לעיל, אני מקבל את הערעור וקובע כי לא ניתן להגיש ערעור משיב בענייני משפחה לאחר חלוף 45 יום ממועד המצאת פסק הדין.</w:t>
      </w:r>
    </w:p>
    <w:p w:rsidR="00614B4A" w:rsidRPr="00B40998" w:rsidRDefault="00614B4A"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t>אשר על כן, הערעור שהוגש על ידי המשיבה כאן, אשר אין חולק כי הוגש בחלוף המועד</w:t>
      </w:r>
      <w:r w:rsidR="00965521">
        <w:rPr>
          <w:rFonts w:ascii="David" w:hAnsi="David" w:hint="cs"/>
          <w:noProof w:val="0"/>
          <w:rtl/>
        </w:rPr>
        <w:t xml:space="preserve"> להגשתו</w:t>
      </w:r>
      <w:r w:rsidRPr="00B40998">
        <w:rPr>
          <w:rFonts w:ascii="David" w:hAnsi="David"/>
          <w:noProof w:val="0"/>
          <w:rtl/>
        </w:rPr>
        <w:t>, נמחק בזאת.</w:t>
      </w:r>
    </w:p>
    <w:p w:rsidR="00DF0A6A" w:rsidRDefault="00DF0A6A">
      <w:pPr>
        <w:bidi w:val="0"/>
        <w:rPr>
          <w:rFonts w:ascii="David" w:hAnsi="David"/>
          <w:noProof w:val="0"/>
        </w:rPr>
      </w:pPr>
      <w:r>
        <w:rPr>
          <w:rFonts w:ascii="David" w:hAnsi="David"/>
          <w:noProof w:val="0"/>
          <w:rtl/>
        </w:rPr>
        <w:br w:type="page"/>
      </w:r>
    </w:p>
    <w:p w:rsidR="00614B4A" w:rsidRDefault="00614B4A" w:rsidP="00B40998">
      <w:pPr>
        <w:pStyle w:val="ad"/>
        <w:numPr>
          <w:ilvl w:val="0"/>
          <w:numId w:val="1"/>
        </w:numPr>
        <w:spacing w:after="180" w:line="360" w:lineRule="auto"/>
        <w:ind w:left="652" w:hanging="709"/>
        <w:contextualSpacing w:val="0"/>
        <w:jc w:val="both"/>
        <w:rPr>
          <w:rFonts w:ascii="David" w:hAnsi="David"/>
          <w:noProof w:val="0"/>
        </w:rPr>
      </w:pPr>
      <w:r w:rsidRPr="00B40998">
        <w:rPr>
          <w:rFonts w:ascii="David" w:hAnsi="David"/>
          <w:noProof w:val="0"/>
          <w:rtl/>
        </w:rPr>
        <w:lastRenderedPageBreak/>
        <w:t>לאור העובדה כי מדובר בפרשנות חדשה לתקנה שנכנסה לתוקף לאחרונה, אין צו להוצאות.</w:t>
      </w:r>
    </w:p>
    <w:p w:rsidR="00FA20B5" w:rsidRDefault="00FA20B5" w:rsidP="00B40998">
      <w:pPr>
        <w:pStyle w:val="ad"/>
        <w:numPr>
          <w:ilvl w:val="0"/>
          <w:numId w:val="1"/>
        </w:numPr>
        <w:spacing w:after="180" w:line="360" w:lineRule="auto"/>
        <w:ind w:left="652" w:hanging="709"/>
        <w:contextualSpacing w:val="0"/>
        <w:jc w:val="both"/>
        <w:rPr>
          <w:rFonts w:ascii="David" w:hAnsi="David"/>
          <w:noProof w:val="0"/>
        </w:rPr>
      </w:pPr>
      <w:r>
        <w:rPr>
          <w:rFonts w:ascii="David" w:hAnsi="David" w:hint="cs"/>
          <w:noProof w:val="0"/>
          <w:rtl/>
        </w:rPr>
        <w:t>פסק דין זה ניתן לפרסום, למעט שמות הצדדים.</w:t>
      </w:r>
    </w:p>
    <w:p w:rsidR="006B20B7" w:rsidRDefault="006B20B7">
      <w:pPr>
        <w:spacing w:line="360" w:lineRule="auto"/>
        <w:jc w:val="both"/>
        <w:rPr>
          <w:rFonts w:ascii="Arial" w:hAnsi="Arial"/>
          <w:noProof w:val="0"/>
          <w:rtl/>
        </w:rPr>
      </w:pPr>
    </w:p>
    <w:p w:rsidR="00DF0A6A" w:rsidRDefault="00DF0A6A">
      <w:pPr>
        <w:spacing w:line="360" w:lineRule="auto"/>
        <w:jc w:val="both"/>
        <w:rPr>
          <w:rFonts w:ascii="Arial" w:hAnsi="Arial"/>
          <w:noProof w:val="0"/>
          <w:rtl/>
        </w:rPr>
      </w:pPr>
    </w:p>
    <w:p w:rsidR="00DF0A6A" w:rsidRDefault="00DF0A6A">
      <w:pPr>
        <w:spacing w:line="360" w:lineRule="auto"/>
        <w:jc w:val="both"/>
        <w:rPr>
          <w:rFonts w:ascii="Arial" w:hAnsi="Arial"/>
          <w:noProof w:val="0"/>
          <w:rtl/>
        </w:rPr>
      </w:pPr>
    </w:p>
    <w:p w:rsidR="00DF0A6A" w:rsidRDefault="00DF0A6A">
      <w:pPr>
        <w:spacing w:line="360" w:lineRule="auto"/>
        <w:jc w:val="both"/>
        <w:rPr>
          <w:rFonts w:ascii="Arial" w:hAnsi="Arial"/>
          <w:noProof w:val="0"/>
          <w:rtl/>
        </w:rPr>
      </w:pPr>
    </w:p>
    <w:p w:rsidR="00DF0A6A" w:rsidRDefault="00DF0A6A">
      <w:pPr>
        <w:spacing w:line="360" w:lineRule="auto"/>
        <w:jc w:val="both"/>
        <w:rPr>
          <w:rFonts w:ascii="Arial" w:hAnsi="Arial"/>
          <w:noProof w:val="0"/>
          <w:rtl/>
        </w:rPr>
      </w:pPr>
    </w:p>
    <w:p w:rsidR="00DF0A6A" w:rsidRDefault="00DF0A6A">
      <w:pPr>
        <w:spacing w:line="360" w:lineRule="auto"/>
        <w:jc w:val="both"/>
        <w:rPr>
          <w:rFonts w:ascii="Arial" w:hAnsi="Arial"/>
          <w:noProof w:val="0"/>
          <w:rtl/>
        </w:rPr>
      </w:pPr>
    </w:p>
    <w:p w:rsidR="00DF0A6A" w:rsidRDefault="00DF0A6A">
      <w:pPr>
        <w:spacing w:line="360" w:lineRule="auto"/>
        <w:jc w:val="both"/>
        <w:rPr>
          <w:rFonts w:ascii="Arial" w:hAnsi="Arial"/>
          <w:noProof w:val="0"/>
          <w:rtl/>
        </w:rPr>
      </w:pPr>
    </w:p>
    <w:p w:rsidR="00694556" w:rsidRDefault="00005C8B" w:rsidP="006B20B7">
      <w:pPr>
        <w:spacing w:line="360" w:lineRule="auto"/>
        <w:jc w:val="both"/>
        <w:rPr>
          <w:rFonts w:ascii="Arial" w:hAnsi="Arial"/>
          <w:noProof w:val="0"/>
          <w:rtl/>
        </w:rPr>
      </w:pPr>
      <w:r>
        <w:rPr>
          <w:rFonts w:ascii="Arial" w:hAnsi="Arial"/>
          <w:noProof w:val="0"/>
          <w:rtl/>
        </w:rPr>
        <w:t xml:space="preserve">ניתן היום,  </w:t>
      </w:r>
      <w:r w:rsidR="006B20B7">
        <w:rPr>
          <w:rFonts w:hint="cs"/>
          <w:rtl/>
        </w:rPr>
        <w:t>יט' אלול תשפ"ג</w:t>
      </w:r>
      <w:r>
        <w:rPr>
          <w:rFonts w:ascii="Arial" w:hAnsi="Arial"/>
          <w:noProof w:val="0"/>
          <w:rtl/>
        </w:rPr>
        <w:t xml:space="preserve">, </w:t>
      </w:r>
      <w:r w:rsidR="006B20B7">
        <w:rPr>
          <w:rFonts w:ascii="Arial" w:hAnsi="Arial" w:hint="cs"/>
          <w:noProof w:val="0"/>
          <w:rtl/>
        </w:rPr>
        <w:t>5</w:t>
      </w:r>
      <w:r>
        <w:rPr>
          <w:rFonts w:ascii="Arial" w:hAnsi="Arial"/>
          <w:noProof w:val="0"/>
          <w:rtl/>
        </w:rPr>
        <w:t xml:space="preserve"> </w:t>
      </w:r>
      <w:r w:rsidR="006B20B7">
        <w:rPr>
          <w:rFonts w:ascii="Arial" w:hAnsi="Arial" w:hint="cs"/>
          <w:noProof w:val="0"/>
          <w:rtl/>
        </w:rPr>
        <w:t>ספטמבר</w:t>
      </w:r>
      <w:r>
        <w:rPr>
          <w:rFonts w:ascii="Arial" w:hAnsi="Arial"/>
          <w:noProof w:val="0"/>
          <w:rtl/>
        </w:rPr>
        <w:t xml:space="preserve"> 2023,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C30A6" w:rsidP="00633C4F">
      <w:pPr>
        <w:spacing w:line="360" w:lineRule="auto"/>
        <w:ind w:left="3600" w:firstLine="720"/>
      </w:pPr>
      <w:sdt>
        <w:sdtPr>
          <w:rPr>
            <w:rtl/>
          </w:rPr>
          <w:alias w:val="MergeField"/>
          <w:tag w:val="1237"/>
          <w:id w:val="1317617721"/>
        </w:sdtPr>
        <w:sdtEndPr/>
        <w:sdtContent>
          <w:r w:rsidR="000000D6">
            <w:drawing>
              <wp:inline distT="0" distB="0" distL="0" distR="0" wp14:editId="50D07946">
                <wp:extent cx="990600"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90600" cy="1076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3210CB">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0A6" w:rsidRDefault="00FC30A6">
      <w:r>
        <w:separator/>
      </w:r>
    </w:p>
  </w:endnote>
  <w:endnote w:type="continuationSeparator" w:id="0">
    <w:p w:rsidR="00FC30A6" w:rsidRDefault="00FC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B3D" w:rsidRDefault="00937B3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722D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722D1">
      <w:rPr>
        <w:rStyle w:val="ab"/>
        <w:rtl/>
      </w:rPr>
      <w:t>24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B3D" w:rsidRDefault="00937B3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0A6" w:rsidRDefault="00FC30A6">
      <w:r>
        <w:separator/>
      </w:r>
    </w:p>
  </w:footnote>
  <w:footnote w:type="continuationSeparator" w:id="0">
    <w:p w:rsidR="00FC30A6" w:rsidRDefault="00FC3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B3D" w:rsidRDefault="00937B3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FC30A6" w:rsidP="006B20B7">
          <w:pPr>
            <w:rPr>
              <w:b/>
              <w:bCs/>
              <w:noProof w:val="0"/>
              <w:sz w:val="26"/>
              <w:szCs w:val="26"/>
              <w:rtl/>
            </w:rPr>
          </w:pPr>
          <w:sdt>
            <w:sdtPr>
              <w:rPr>
                <w:b/>
                <w:bCs/>
                <w:noProof w:val="0"/>
                <w:sz w:val="26"/>
                <w:szCs w:val="26"/>
                <w:rtl/>
              </w:rPr>
              <w:alias w:val="1170"/>
              <w:tag w:val="1170"/>
              <w:id w:val="299038016"/>
              <w:text w:multiLine="1"/>
            </w:sdtPr>
            <w:sdtEndPr/>
            <w:sdtContent>
              <w:r w:rsidR="00665ADE">
                <w:rPr>
                  <w:b/>
                  <w:bCs/>
                  <w:noProof w:val="0"/>
                  <w:sz w:val="26"/>
                  <w:szCs w:val="26"/>
                  <w:rtl/>
                </w:rPr>
                <w:t>ע"ר</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65ADE">
                <w:rPr>
                  <w:b/>
                  <w:bCs/>
                  <w:noProof w:val="0"/>
                  <w:sz w:val="26"/>
                  <w:szCs w:val="26"/>
                  <w:rtl/>
                </w:rPr>
                <w:t>47564-07-23</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20B7">
                <w:rPr>
                  <w:rFonts w:hint="cs"/>
                  <w:b/>
                  <w:bCs/>
                  <w:noProof w:val="0"/>
                  <w:sz w:val="26"/>
                  <w:szCs w:val="26"/>
                  <w:rtl/>
                </w:rPr>
                <w:t>פלוני</w:t>
              </w:r>
              <w:r w:rsidR="00665ADE">
                <w:rPr>
                  <w:b/>
                  <w:bCs/>
                  <w:noProof w:val="0"/>
                  <w:sz w:val="26"/>
                  <w:szCs w:val="26"/>
                  <w:rtl/>
                </w:rPr>
                <w:t xml:space="preserve"> נ' </w:t>
              </w:r>
              <w:r w:rsidR="006B20B7">
                <w:rPr>
                  <w:rFonts w:hint="cs"/>
                  <w:b/>
                  <w:bCs/>
                  <w:noProof w:val="0"/>
                  <w:sz w:val="26"/>
                  <w:szCs w:val="26"/>
                  <w:rtl/>
                </w:rPr>
                <w:t>אלמונית</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6B20B7"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B3D" w:rsidRDefault="00937B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59D4"/>
    <w:multiLevelType w:val="hybridMultilevel"/>
    <w:tmpl w:val="20A24E1C"/>
    <w:lvl w:ilvl="0" w:tplc="F43079D0">
      <w:start w:val="1"/>
      <w:numFmt w:val="decimal"/>
      <w:lvlText w:val="%1."/>
      <w:lvlJc w:val="left"/>
      <w:pPr>
        <w:ind w:left="720" w:hanging="360"/>
      </w:pPr>
      <w:rPr>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4664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46642&amp;lt;/CaseID&amp;gt;_x000d__x000a_        &amp;lt;CaseMonth&amp;gt;7&amp;lt;/CaseMonth&amp;gt;_x000d__x000a_        &amp;lt;CaseYear&amp;gt;2023&amp;lt;/CaseYear&amp;gt;_x000d__x000a_        &amp;lt;CaseNumber&amp;gt;47564&amp;lt;/CaseNumber&amp;gt;_x000d__x000a_        &amp;lt;NumeratorGroupID&amp;gt;1&amp;lt;/NumeratorGroupID&amp;gt;_x000d__x000a_        &amp;lt;CaseName&amp;gt;אביעד נ&amp;#39; שבס&amp;lt;/CaseName&amp;gt;_x000d__x000a_        &amp;lt;CourtID&amp;gt;15&amp;lt;/CourtID&amp;gt;_x000d__x000a_        &amp;lt;CaseTypeID&amp;gt;10038&amp;lt;/CaseTypeID&amp;gt;_x000d__x000a_        &amp;lt;CaseInterestID&amp;gt;10023&amp;lt;/CaseInterestID&amp;gt;_x000d__x000a_        &amp;lt;CaseJudgeName&amp;gt;גלעד הס&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7564-07-23&amp;lt;/CaseDisplayIdentifier&amp;gt;_x000d__x000a_        &amp;lt;CaseTypeDesc&amp;gt;ע&amp;quot;ר&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7-20T11:57:00+03:00&amp;lt;/CaseOpenDate&amp;gt;_x000d__x000a_        &amp;lt;PleaTypeID&amp;gt;6&amp;lt;/PleaTypeID&amp;gt;_x000d__x000a_        &amp;lt;CourtLevelID&amp;gt;2&amp;lt;/CourtLevelID&amp;gt;_x000d__x000a_        &amp;lt;CourtLevelCaseTypeInterestID&amp;gt;1083&amp;lt;/CourtLevelCaseTypeInterestID&amp;gt;_x000d__x000a_        &amp;lt;CaseJudgeFirstName&amp;gt;גלעד&amp;lt;/CaseJudgeFirstName&amp;gt;_x000d__x000a_        &amp;lt;CaseJudgeLastName&amp;gt;הס&amp;lt;/CaseJudgeLastName&amp;gt;_x000d__x000a_        &amp;lt;JudicalPersonID&amp;gt;02410504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שכת כב&amp;#39; הש&amp;#39; ה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46642&amp;lt;/CaseID&amp;gt;_x000d__x000a_        &amp;lt;CaseMonth&amp;gt;7&amp;lt;/CaseMonth&amp;gt;_x000d__x000a_        &amp;lt;CaseYear&amp;gt;2023&amp;lt;/CaseYear&amp;gt;_x000d__x000a_        &amp;lt;CaseNumber&amp;gt;47564&amp;lt;/CaseNumber&amp;gt;_x000d__x000a_        &amp;lt;NumeratorGroupID&amp;gt;1&amp;lt;/NumeratorGroupID&amp;gt;_x000d__x000a_        &amp;lt;CaseName&amp;gt;אביעד נ&amp;#39; שבס&amp;lt;/CaseName&amp;gt;_x000d__x000a_        &amp;lt;CourtID&amp;gt;15&amp;lt;/CourtID&amp;gt;_x000d__x000a_        &amp;lt;CaseTypeID&amp;gt;10038&amp;lt;/CaseTypeID&amp;gt;_x000d__x000a_        &amp;lt;CaseInterestID&amp;gt;10023&amp;lt;/CaseInterestID&amp;gt;_x000d__x000a_        &amp;lt;CaseJudgeName&amp;gt;גלעד הס&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7564-07-23&amp;lt;/CaseDisplayIdentifier&amp;gt;_x000d__x000a_        &amp;lt;CaseTypeDesc&amp;gt;ע&amp;quot;ר&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3-07-20T11:57:00+03:00&amp;lt;/CaseOpenDate&amp;gt;_x000d__x000a_        &amp;lt;PleaTypeID&amp;gt;6&amp;lt;/PleaTypeID&amp;gt;_x000d__x000a_        &amp;lt;CourtLevelID&amp;gt;2&amp;lt;/CourtLevelID&amp;gt;_x000d__x000a_        &amp;lt;CourtLevelCaseTypeInterestID&amp;gt;1083&amp;lt;/CourtLevelCaseTypeInterestID&amp;gt;_x000d__x000a_        &amp;lt;CaseJudgeFirstName&amp;gt;גלעד&amp;lt;/CaseJudgeFirstName&amp;gt;_x000d__x000a_        &amp;lt;CaseJudgeLastName&amp;gt;הס&amp;lt;/CaseJudgeLastName&amp;gt;_x000d__x000a_        &amp;lt;JudicalPersonID&amp;gt;02410504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שכת כב&amp;#39; הש&amp;#39; ה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50466&amp;lt;/DecisionID&amp;gt;_x000d__x000a_        &amp;lt;DecisionName&amp;gt;פסק דין  שניתנה ע&amp;quot;י  גלעד הס&amp;lt;/DecisionName&amp;gt;_x000d__x000a_        &amp;lt;DecisionStatusID&amp;gt;1&amp;lt;/DecisionStatusID&amp;gt;_x000d__x000a_        &amp;lt;DecisionStatusChangeDate&amp;gt;2023-09-05T00:18:44.13+03:00&amp;lt;/DecisionStatusChangeDate&amp;gt;_x000d__x000a_        &amp;lt;DecisionSignatureDate&amp;gt;2023-08-27T19:55:00.943+03:00&amp;lt;/DecisionSignatureDate&amp;gt;_x000d__x000a_        &amp;lt;DecisionSignatureUserID&amp;gt;024105041@GOV.IL&amp;lt;/DecisionSignatureUserID&amp;gt;_x000d__x000a_        &amp;lt;DecisionCreateDate&amp;gt;2023-08-27T20:00:17.15+03:00&amp;lt;/DecisionCreateDate&amp;gt;_x000d__x000a_        &amp;lt;DecisionChangeDate&amp;gt;2023-09-05T00:18:44.39+03:00&amp;lt;/DecisionChangeDate&amp;gt;_x000d__x000a_        &amp;lt;DecisionChangeUserID&amp;gt;3006245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18370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10504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105041@GOV.IL&amp;lt;/DecisionCreationUserID&amp;gt;_x000d__x000a_        &amp;lt;DecisionDisplayName&amp;gt;פסק דין  שניתנה ע&amp;quot;י  גלעד הס&amp;lt;/DecisionDisplayName&amp;gt;_x000d__x000a_        &amp;lt;IsScanned&amp;gt;false&amp;lt;/IsScanned&amp;gt;_x000d__x000a_        &amp;lt;DecisionSignatureUserName&amp;gt;גלעד ה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6850466&amp;lt;/DecisionID&amp;gt;_x000d__x000a_        &amp;lt;CaseID&amp;gt;80446642&amp;lt;/CaseID&amp;gt;_x000d__x000a_        &amp;lt;IsOriginal&amp;gt;true&amp;lt;/IsOriginal&amp;gt;_x000d__x000a_        &amp;lt;IsDeleted&amp;gt;false&amp;lt;/IsDeleted&amp;gt;_x000d__x000a_        &amp;lt;CaseName&amp;gt;אביעד נ&amp;#39; שבס&amp;lt;/CaseName&amp;gt;_x000d__x000a_        &amp;lt;CaseDisplayIdentifier&amp;gt;47564-07-23 ע&amp;quot;ר&amp;lt;/CaseDisplayIdentifier&amp;gt;_x000d__x000a_      &amp;lt;/dt_DecisionCase&amp;gt;_x000d__x000a_    &amp;lt;/DecisionDS&amp;gt;_x000d__x000a_  &amp;lt;/diffgr:diffgram&amp;gt;_x000d__x000a_&amp;lt;/DecisionDS&amp;gt;"/>
    <w:docVar w:name="DecisionID" w:val="146850466"/>
    <w:docVar w:name="WordClientAssemblyName" w:val="NGCS.Decision.ClientWordBL"/>
    <w:docVar w:name="WordClientClassName" w:val="NGCS.Decision.ClientWordBL.DecisionClient"/>
  </w:docVars>
  <w:rsids>
    <w:rsidRoot w:val="00694556"/>
    <w:rsid w:val="000000D6"/>
    <w:rsid w:val="00005C8B"/>
    <w:rsid w:val="000146C2"/>
    <w:rsid w:val="00016C35"/>
    <w:rsid w:val="00022490"/>
    <w:rsid w:val="00023B5E"/>
    <w:rsid w:val="000258FD"/>
    <w:rsid w:val="000564AB"/>
    <w:rsid w:val="000847A3"/>
    <w:rsid w:val="000A2FDF"/>
    <w:rsid w:val="000A3F94"/>
    <w:rsid w:val="000A780A"/>
    <w:rsid w:val="000B2E97"/>
    <w:rsid w:val="000B73FC"/>
    <w:rsid w:val="000C45EF"/>
    <w:rsid w:val="000D4A02"/>
    <w:rsid w:val="000F41B9"/>
    <w:rsid w:val="000F4B37"/>
    <w:rsid w:val="001072A9"/>
    <w:rsid w:val="00121F97"/>
    <w:rsid w:val="0012686B"/>
    <w:rsid w:val="001277D7"/>
    <w:rsid w:val="00132017"/>
    <w:rsid w:val="0014234E"/>
    <w:rsid w:val="001435B5"/>
    <w:rsid w:val="00145A87"/>
    <w:rsid w:val="00154FAD"/>
    <w:rsid w:val="001715C9"/>
    <w:rsid w:val="00190D81"/>
    <w:rsid w:val="001941FB"/>
    <w:rsid w:val="001C4003"/>
    <w:rsid w:val="001D650E"/>
    <w:rsid w:val="001F5474"/>
    <w:rsid w:val="001F6203"/>
    <w:rsid w:val="00203B2A"/>
    <w:rsid w:val="00207740"/>
    <w:rsid w:val="00231F67"/>
    <w:rsid w:val="002352F7"/>
    <w:rsid w:val="00250552"/>
    <w:rsid w:val="00255F73"/>
    <w:rsid w:val="00255FCC"/>
    <w:rsid w:val="002562DC"/>
    <w:rsid w:val="00261B51"/>
    <w:rsid w:val="00272B3F"/>
    <w:rsid w:val="002812CA"/>
    <w:rsid w:val="002856D9"/>
    <w:rsid w:val="00295DD1"/>
    <w:rsid w:val="002F6D6E"/>
    <w:rsid w:val="003210CB"/>
    <w:rsid w:val="003435A6"/>
    <w:rsid w:val="00355AEC"/>
    <w:rsid w:val="00361CDF"/>
    <w:rsid w:val="003632FE"/>
    <w:rsid w:val="003665C4"/>
    <w:rsid w:val="00381D3A"/>
    <w:rsid w:val="003823DA"/>
    <w:rsid w:val="003E1913"/>
    <w:rsid w:val="003E4376"/>
    <w:rsid w:val="003E48C3"/>
    <w:rsid w:val="00411AF3"/>
    <w:rsid w:val="00434046"/>
    <w:rsid w:val="0043595F"/>
    <w:rsid w:val="004546EC"/>
    <w:rsid w:val="00475AC1"/>
    <w:rsid w:val="0047645A"/>
    <w:rsid w:val="00477B7F"/>
    <w:rsid w:val="004B65FE"/>
    <w:rsid w:val="004D0632"/>
    <w:rsid w:val="004D49A3"/>
    <w:rsid w:val="004E6E3C"/>
    <w:rsid w:val="00501AC2"/>
    <w:rsid w:val="00507F00"/>
    <w:rsid w:val="005124F1"/>
    <w:rsid w:val="0051350E"/>
    <w:rsid w:val="00530BAD"/>
    <w:rsid w:val="005407E0"/>
    <w:rsid w:val="00541056"/>
    <w:rsid w:val="00541598"/>
    <w:rsid w:val="00547DB7"/>
    <w:rsid w:val="00561E6D"/>
    <w:rsid w:val="00567324"/>
    <w:rsid w:val="005B0F49"/>
    <w:rsid w:val="005B70A3"/>
    <w:rsid w:val="005C42CF"/>
    <w:rsid w:val="005C7EC6"/>
    <w:rsid w:val="005D21FE"/>
    <w:rsid w:val="005D4BDB"/>
    <w:rsid w:val="005F1FAE"/>
    <w:rsid w:val="00600811"/>
    <w:rsid w:val="00605978"/>
    <w:rsid w:val="00614B4A"/>
    <w:rsid w:val="00620001"/>
    <w:rsid w:val="00622BAA"/>
    <w:rsid w:val="006230DB"/>
    <w:rsid w:val="00625C89"/>
    <w:rsid w:val="00633C4F"/>
    <w:rsid w:val="006372D6"/>
    <w:rsid w:val="00640597"/>
    <w:rsid w:val="00665ADE"/>
    <w:rsid w:val="00671BD5"/>
    <w:rsid w:val="00680586"/>
    <w:rsid w:val="006805C1"/>
    <w:rsid w:val="006816EC"/>
    <w:rsid w:val="0068281F"/>
    <w:rsid w:val="00690FFE"/>
    <w:rsid w:val="00694556"/>
    <w:rsid w:val="006A1D17"/>
    <w:rsid w:val="006B20B7"/>
    <w:rsid w:val="006B4330"/>
    <w:rsid w:val="006B5553"/>
    <w:rsid w:val="006C4F34"/>
    <w:rsid w:val="006C5319"/>
    <w:rsid w:val="006D2009"/>
    <w:rsid w:val="006E1A53"/>
    <w:rsid w:val="006E5241"/>
    <w:rsid w:val="0070103A"/>
    <w:rsid w:val="007056AA"/>
    <w:rsid w:val="0072674A"/>
    <w:rsid w:val="00730ADD"/>
    <w:rsid w:val="00740301"/>
    <w:rsid w:val="00744F41"/>
    <w:rsid w:val="00750D91"/>
    <w:rsid w:val="0078468E"/>
    <w:rsid w:val="00785ADB"/>
    <w:rsid w:val="00791BAF"/>
    <w:rsid w:val="007A24FE"/>
    <w:rsid w:val="007A35AA"/>
    <w:rsid w:val="007E3367"/>
    <w:rsid w:val="007F1048"/>
    <w:rsid w:val="00820005"/>
    <w:rsid w:val="0083107C"/>
    <w:rsid w:val="008356AA"/>
    <w:rsid w:val="00841346"/>
    <w:rsid w:val="00841CA5"/>
    <w:rsid w:val="00846D27"/>
    <w:rsid w:val="00851AB3"/>
    <w:rsid w:val="008610A7"/>
    <w:rsid w:val="00864506"/>
    <w:rsid w:val="008722D1"/>
    <w:rsid w:val="00874484"/>
    <w:rsid w:val="00890DCF"/>
    <w:rsid w:val="00893864"/>
    <w:rsid w:val="0089485E"/>
    <w:rsid w:val="00895863"/>
    <w:rsid w:val="008B12D8"/>
    <w:rsid w:val="008B7E91"/>
    <w:rsid w:val="008D152F"/>
    <w:rsid w:val="008D3263"/>
    <w:rsid w:val="008D6875"/>
    <w:rsid w:val="008E1332"/>
    <w:rsid w:val="00903896"/>
    <w:rsid w:val="009269E8"/>
    <w:rsid w:val="00927813"/>
    <w:rsid w:val="00937B3D"/>
    <w:rsid w:val="00941882"/>
    <w:rsid w:val="00944D13"/>
    <w:rsid w:val="00946135"/>
    <w:rsid w:val="00951C84"/>
    <w:rsid w:val="0095462B"/>
    <w:rsid w:val="00957C90"/>
    <w:rsid w:val="00961005"/>
    <w:rsid w:val="0096532E"/>
    <w:rsid w:val="00965521"/>
    <w:rsid w:val="00976ADF"/>
    <w:rsid w:val="00990B6B"/>
    <w:rsid w:val="00996950"/>
    <w:rsid w:val="009B465C"/>
    <w:rsid w:val="009B488E"/>
    <w:rsid w:val="009D101A"/>
    <w:rsid w:val="009E0263"/>
    <w:rsid w:val="009E608B"/>
    <w:rsid w:val="009F1603"/>
    <w:rsid w:val="00A0260A"/>
    <w:rsid w:val="00A201C8"/>
    <w:rsid w:val="00A267CF"/>
    <w:rsid w:val="00A43458"/>
    <w:rsid w:val="00A60536"/>
    <w:rsid w:val="00A61E00"/>
    <w:rsid w:val="00A718E5"/>
    <w:rsid w:val="00A80A03"/>
    <w:rsid w:val="00A831D1"/>
    <w:rsid w:val="00A87BFB"/>
    <w:rsid w:val="00AC4E19"/>
    <w:rsid w:val="00AE3ED7"/>
    <w:rsid w:val="00AF1ED6"/>
    <w:rsid w:val="00AF1FC8"/>
    <w:rsid w:val="00B061AB"/>
    <w:rsid w:val="00B32C61"/>
    <w:rsid w:val="00B368FE"/>
    <w:rsid w:val="00B40998"/>
    <w:rsid w:val="00B77B03"/>
    <w:rsid w:val="00B80CBD"/>
    <w:rsid w:val="00B821F7"/>
    <w:rsid w:val="00B92EF6"/>
    <w:rsid w:val="00BB1E7F"/>
    <w:rsid w:val="00BC3369"/>
    <w:rsid w:val="00BE3A4A"/>
    <w:rsid w:val="00BF77EE"/>
    <w:rsid w:val="00C24AFF"/>
    <w:rsid w:val="00C32E0F"/>
    <w:rsid w:val="00C3311F"/>
    <w:rsid w:val="00C37F8A"/>
    <w:rsid w:val="00C42BF9"/>
    <w:rsid w:val="00C46180"/>
    <w:rsid w:val="00C609B6"/>
    <w:rsid w:val="00C75884"/>
    <w:rsid w:val="00C83E56"/>
    <w:rsid w:val="00CA4DC5"/>
    <w:rsid w:val="00CB79D8"/>
    <w:rsid w:val="00CD0055"/>
    <w:rsid w:val="00CD4B82"/>
    <w:rsid w:val="00CD4FE1"/>
    <w:rsid w:val="00CE08C0"/>
    <w:rsid w:val="00CF1EB8"/>
    <w:rsid w:val="00CF65A0"/>
    <w:rsid w:val="00D319B3"/>
    <w:rsid w:val="00D36D9E"/>
    <w:rsid w:val="00D47EC0"/>
    <w:rsid w:val="00D5160B"/>
    <w:rsid w:val="00D53924"/>
    <w:rsid w:val="00D60849"/>
    <w:rsid w:val="00D634EA"/>
    <w:rsid w:val="00D74309"/>
    <w:rsid w:val="00D81149"/>
    <w:rsid w:val="00D815FC"/>
    <w:rsid w:val="00D81C37"/>
    <w:rsid w:val="00D848BE"/>
    <w:rsid w:val="00D949D9"/>
    <w:rsid w:val="00D96D8C"/>
    <w:rsid w:val="00DA640A"/>
    <w:rsid w:val="00DA708A"/>
    <w:rsid w:val="00DC33F1"/>
    <w:rsid w:val="00DD337E"/>
    <w:rsid w:val="00DE4E11"/>
    <w:rsid w:val="00DE7E5B"/>
    <w:rsid w:val="00DF0A6A"/>
    <w:rsid w:val="00DF0C36"/>
    <w:rsid w:val="00DF4313"/>
    <w:rsid w:val="00DF7B22"/>
    <w:rsid w:val="00E00B6F"/>
    <w:rsid w:val="00E07C83"/>
    <w:rsid w:val="00E50B33"/>
    <w:rsid w:val="00E54642"/>
    <w:rsid w:val="00E73D2E"/>
    <w:rsid w:val="00E75AF5"/>
    <w:rsid w:val="00E971D8"/>
    <w:rsid w:val="00E97908"/>
    <w:rsid w:val="00ED00B3"/>
    <w:rsid w:val="00EF3ED0"/>
    <w:rsid w:val="00F17E56"/>
    <w:rsid w:val="00F41B59"/>
    <w:rsid w:val="00F42321"/>
    <w:rsid w:val="00F608CA"/>
    <w:rsid w:val="00FA20B5"/>
    <w:rsid w:val="00FA30EF"/>
    <w:rsid w:val="00FB103E"/>
    <w:rsid w:val="00FB451A"/>
    <w:rsid w:val="00FC30A6"/>
    <w:rsid w:val="00FE5030"/>
    <w:rsid w:val="00FF542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210CB"/>
    <w:pPr>
      <w:ind w:left="720"/>
      <w:contextualSpacing/>
    </w:pPr>
  </w:style>
  <w:style w:type="character" w:styleId="Hyperlink">
    <w:name w:val="Hyperlink"/>
    <w:basedOn w:val="a0"/>
    <w:unhideWhenUsed/>
    <w:rsid w:val="00203B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72185">
      <w:bodyDiv w:val="1"/>
      <w:marLeft w:val="0"/>
      <w:marRight w:val="0"/>
      <w:marTop w:val="0"/>
      <w:marBottom w:val="0"/>
      <w:divBdr>
        <w:top w:val="none" w:sz="0" w:space="0" w:color="auto"/>
        <w:left w:val="none" w:sz="0" w:space="0" w:color="auto"/>
        <w:bottom w:val="none" w:sz="0" w:space="0" w:color="auto"/>
        <w:right w:val="none" w:sz="0" w:space="0" w:color="auto"/>
      </w:divBdr>
    </w:div>
    <w:div w:id="60215600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srn.com/abstract=4082746"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33861"/>
    <w:rsid w:val="00227C29"/>
    <w:rsid w:val="00B65361"/>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80446642</CaseID>
    <CaseJudicialPersonPresentationDS>
      <CaseJudicalPersonActive>
        <CaseID>80446642</CaseID>
        <JudicialPersonID>024105041@GOV.IL</JudicialPersonID>
        <JudicialPersonTypeID>1</JudicialPersonTypeID>
        <JudicialTypeID>1</JudicialTypeID>
        <IsChairman>false</IsChairman>
        <TreatmentStartDate>2023-07-20T12:08:19.36+03:00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רמי רובין</FullName>
        <FirstName>רמי</FirstName>
        <LastName>רובין</LastName>
        <PartyPropertyName/>
        <AuthenticationTypeAndNumber>מ.ר. 14353</AuthenticationTypeAndNumber>
        <RepresentatedOrRepresentativesNames>לודמילה שבס</RepresentatedOrRepresentativesNames>
        <RepresentatedOrRepresentativesCount>1</RepresentatedOrRepresentativesCount>
        <InvitedBy/>
        <CaseID>80446642</CaseID>
        <CaseJudicialPersonPresentationDS>
          <CaseJudicalPersonActive>
            <CaseID>80446642</CaseID>
            <JudicialPersonID>024105041@GOV.IL</JudicialPersonID>
            <JudicialPersonTypeID>1</JudicialPersonTypeID>
            <JudicialTypeID>1</JudicialTypeID>
            <IsChairman>false</IsChairman>
            <TreatmentStartDate>2023-07-20T12:08:19.36+03:00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259398395</CasePartyID>
        <PartyTypeID>2</PartyTypeID>
        <ActivityStatusID>1</ActivityStatusID>
        <PartyAliasID>23</PartyAliasID>
        <PartyAliasName>בא כוח משיבים</PartyAliasName>
        <LegalEntityID>382260</LegalEntityID>
        <CaseLegalEntityID>125533642</CaseLegalEntityID>
        <AuthenticationTypeID>4</AuthenticationTypeID>
        <AuthenticationTypeName>מ.ר.</AuthenticationTypeName>
        <LegalEntityNumber>14353</LegalEntityNumber>
        <IsMainPartyType>true</IsMainPartyType>
        <CaseDisplayIdentifier>47564-07-23</CaseDisplayIdentifier>
        <CaseTypeID>10038</CaseTypeID>
        <CaseTypeName>ערעור על החלטת רשם (ע"ר)</CaseTypeName>
        <CaseName>אביעד נ' שבס</CaseName>
        <FullAddress>משה לוי 11 ראשון לציון בית I.M.U  קומה 6</FullAddress>
        <EmailAddress>rubinram@zahav.net.il</EmailAddress>
        <MotionID>0</MotionID>
        <CasePleaID>0</CasePleaID>
        <FatherName xml:space="preserve">        </FatherName>
        <LinkedCaseID>0</LinkedCaseID>
        <PartyID>2</PartyID>
        <CasePartyCategoryID>2</CasePartyCategoryID>
        <LegalEntityAddressID>71008963</LegalEntityAddressID>
        <LegalEntityEmailAddressID>67834032</LegalEntityEmailAddressID>
        <PleaTypeID>6</PleaTypeID>
        <LawyerOfficeName>משרד עו"ד: רמי רובין</LawyerOfficeName>
        <LawyerOfficeID>422904</LawyerOfficeID>
        <GroupPartyAlias/>
        <IsConverted>false</IsConverted>
        <LegalEntityNameID>3244</LegalEntityNameID>
        <RepresentatedNamesOfAssistant/>
        <LegalEntityTypeID>4</LegalEntityTypeID>
        <IsVerdictExists>false</IsVerdictExists>
        <IsAsirAzir>false</IsAsirAzir>
        <IsPublicationProhibited>false</IsPublicationProhibited>
        <PublicationProhibitedFullName>רמי רובין</PublicationProhibitedFullName>
      </CaseParties>
      <CaseParties>
        <PartyTypeName>צד</PartyTypeName>
        <ProceedingType>כתב טענות עיקרי</ProceedingType>
        <PleaName>הודעת ערעור</PleaName>
        <PartyBelonging>צד א'</PartyBelonging>
        <RoleName>מערער 1 - מערער</RoleName>
        <IsSubProceeding>FALSE</IsSubProceeding>
        <FullName>אמנון אביעד</FullName>
        <FirstName>אמנון</FirstName>
        <LastName>אביעד</LastName>
        <PartyPropertyName/>
        <AuthenticationTypeAndNumber>ת"ז 050640309</AuthenticationTypeAndNumber>
        <RepresentatedOrRepresentativesNames>ספיר בן אליהו</RepresentatedOrRepresentativesNames>
        <RepresentatedOrRepresentativesCount>1</RepresentatedOrRepresentativesCount>
        <InvitedBy/>
        <CaseID>80446642</CaseID>
        <CaseJudicialPersonPresentationDS>
          <CaseJudicalPersonActive>
            <CaseID>80446642</CaseID>
            <JudicialPersonID>024105041@GOV.IL</JudicialPersonID>
            <JudicialPersonTypeID>1</JudicialPersonTypeID>
            <JudicialTypeID>1</JudicialTypeID>
            <IsChairman>false</IsChairman>
            <TreatmentStartDate>2023-07-20T12:08:19.36+03:00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258628964</CasePartyID>
        <PartyTypeID>1</PartyTypeID>
        <ActivityStatusID>1</ActivityStatusID>
        <PartyAliasID>5</PartyAliasID>
        <PartyAliasName>מערער</PartyAliasName>
        <OrdinalNumber>1</OrdinalNumber>
        <LegalEntityID>519211</LegalEntityID>
        <CaseLegalEntityID>125253877</CaseLegalEntityID>
        <AuthenticationTypeID>1</AuthenticationTypeID>
        <AuthenticationTypeName>ת"ז</AuthenticationTypeName>
        <LegalEntityNumber>050640309</LegalEntityNumber>
        <IsMainPartyType>true</IsMainPartyType>
        <CaseDisplayIdentifier>47564-07-23</CaseDisplayIdentifier>
        <CaseTypeID>10038</CaseTypeID>
        <CaseTypeName>ערעור על החלטת רשם (ע"ר)</CaseTypeName>
        <CaseName>אביעד נ' שבס</CaseName>
        <FullAddress>התפוצות 20 רמת גן </FullAddress>
        <MotionID>0</MotionID>
        <CasePleaID>0</CasePleaID>
        <FatherName>יוסף</FatherName>
        <LinkedCaseID>0</LinkedCaseID>
        <PartyID>1</PartyID>
        <CasePartyCategoryID>2</CasePartyCategoryID>
        <LegalEntityAddressID>85917621</LegalEntityAddressID>
        <GrandfatherName/>
        <DrivingLicenseNumber>458406</DrivingLicenseNumber>
        <PleaTypeID>6</PleaTypeID>
        <GroupPartyAlias>מערערים</GroupPartyAlias>
        <IsConverted>false</IsConverted>
        <LegalEntityRegisteredNameID>335692</LegalEntityRegisteredNameID>
        <LegalEntityNameID>92351298</LegalEntityNameID>
        <RepresentatedNamesOfAssistant/>
        <LegalEntityTypeID>1</LegalEntityTypeID>
        <IsVerdictExists>false</IsVerdictExists>
        <IsAsirAzir>false</IsAsirAzir>
        <IsPublicationProhibited>false</IsPublicationProhibited>
        <PublicationProhibitedFullName>אמנון אביעד</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ספיר בן אליהו</FullName>
        <FirstName>ספיר</FirstName>
        <LastName>בן אליהו</LastName>
        <PartyPropertyName/>
        <AuthenticationTypeAndNumber>מ.ר. 88474</AuthenticationTypeAndNumber>
        <RepresentatedOrRepresentativesNames>אמנון אביעד</RepresentatedOrRepresentativesNames>
        <RepresentatedOrRepresentativesCount>1</RepresentatedOrRepresentativesCount>
        <InvitedBy/>
        <CaseID>80446642</CaseID>
        <CaseJudicialPersonPresentationDS>
          <CaseJudicalPersonActive>
            <CaseID>80446642</CaseID>
            <JudicialPersonID>024105041@GOV.IL</JudicialPersonID>
            <JudicialPersonTypeID>1</JudicialPersonTypeID>
            <JudicialTypeID>1</JudicialTypeID>
            <IsChairman>false</IsChairman>
            <TreatmentStartDate>2023-07-20T12:08:19.36+03:00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258628966</CasePartyID>
        <PartyTypeID>2</PartyTypeID>
        <ActivityStatusID>1</ActivityStatusID>
        <PartyAliasID>24</PartyAliasID>
        <PartyAliasName>בא כוח מערערים</PartyAliasName>
        <OrdinalNumber>1</OrdinalNumber>
        <LegalEntityID>79427748</LegalEntityID>
        <CaseLegalEntityID>125253879</CaseLegalEntityID>
        <AuthenticationTypeID>4</AuthenticationTypeID>
        <AuthenticationTypeName>מ.ר.</AuthenticationTypeName>
        <LegalEntityNumber>88474</LegalEntityNumber>
        <IsMainPartyType>true</IsMainPartyType>
        <CaseDisplayIdentifier>47564-07-23</CaseDisplayIdentifier>
        <CaseTypeID>10038</CaseTypeID>
        <CaseTypeName>ערעור על החלטת רשם (ע"ר)</CaseTypeName>
        <CaseName>אביעד נ' שבס</CaseName>
        <FullAddress>נסים אלוני 17 תל אביב -יפו </FullAddress>
        <MotionID>0</MotionID>
        <CasePleaID>0</CasePleaID>
        <LinkedCaseID>0</LinkedCaseID>
        <PartyID>1</PartyID>
        <CasePartyCategoryID>2</CasePartyCategoryID>
        <LegalEntityAddressID>84649753</LegalEntityAddressID>
        <PleaTypeID>6</PleaTypeID>
        <LawyerOfficeName>משרד עו"ד ספיר בן אליהו</LawyerOfficeName>
        <LawyerOfficeID>79427749</LawyerOfficeID>
        <GroupPartyAlias/>
        <IsConverted>false</IsConverted>
        <LegalEntityNameID>90647042</LegalEntityNameID>
        <RepresentatedNamesOfAssistant/>
        <LegalEntityTypeID>4</LegalEntityTypeID>
        <IsVerdictExists>false</IsVerdictExists>
        <IsAsirAzir>false</IsAsirAzir>
        <IsPublicationProhibited>false</IsPublicationProhibited>
        <PublicationProhibitedFullName>ספיר בן אליהו</PublicationProhibitedFullName>
      </CaseParties>
      <CaseParties>
        <PartyTypeName>צד</PartyTypeName>
        <ProceedingType>כתב טענות עיקרי</ProceedingType>
        <PleaName>הודעת ערעור</PleaName>
        <PartyBelonging>צד ב'</PartyBelonging>
        <RoleName>משיב 1 - משיב</RoleName>
        <IsSubProceeding>FALSE</IsSubProceeding>
        <FullName>לודמילה שבס</FullName>
        <FirstName>לודמילה</FirstName>
        <LastName>שבס</LastName>
        <PartyPropertyName/>
        <AuthenticationTypeAndNumber>ת"ז 310445408</AuthenticationTypeAndNumber>
        <RepresentatedOrRepresentativesNames>רמי רובין</RepresentatedOrRepresentativesNames>
        <RepresentatedOrRepresentativesCount>1</RepresentatedOrRepresentativesCount>
        <InvitedBy/>
        <CaseID>80446642</CaseID>
        <CaseJudicialPersonPresentationDS>
          <CaseJudicalPersonActive>
            <CaseID>80446642</CaseID>
            <JudicialPersonID>024105041@GOV.IL</JudicialPersonID>
            <JudicialPersonTypeID>1</JudicialPersonTypeID>
            <JudicialTypeID>1</JudicialTypeID>
            <IsChairman>false</IsChairman>
            <TreatmentStartDate>2023-07-20T12:08:19.36+03:00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258628965</CasePartyID>
        <PartyTypeID>1</PartyTypeID>
        <ActivityStatusID>1</ActivityStatusID>
        <PartyAliasID>4</PartyAliasID>
        <PartyAliasName>משיב</PartyAliasName>
        <OrdinalNumber>1</OrdinalNumber>
        <LegalEntityID>2118913</LegalEntityID>
        <CaseLegalEntityID>125253878</CaseLegalEntityID>
        <AuthenticationTypeID>1</AuthenticationTypeID>
        <AuthenticationTypeName>ת"ז</AuthenticationTypeName>
        <LegalEntityNumber>310445408</LegalEntityNumber>
        <IsMainPartyType>true</IsMainPartyType>
        <CaseDisplayIdentifier>47564-07-23</CaseDisplayIdentifier>
        <CaseTypeID>10038</CaseTypeID>
        <CaseTypeName>ערעור על החלטת רשם (ע"ר)</CaseTypeName>
        <CaseName>אביעד נ' שבס</CaseName>
        <FullAddress>התפוצות 20 רמת גן </FullAddress>
        <MotionID>0</MotionID>
        <CasePleaID>0</CasePleaID>
        <FatherName>דמיטרי</FatherName>
        <LinkedCaseID>0</LinkedCaseID>
        <PartyID>2</PartyID>
        <CasePartyCategoryID>2</CasePartyCategoryID>
        <LegalEntityAddressID>88001458</LegalEntityAddressID>
        <DrivingLicenseNumber>7084503</DrivingLicenseNumber>
        <PleaTypeID>6</PleaTypeID>
        <GroupPartyAlias>משיבים</GroupPartyAlias>
        <IsConverted>false</IsConverted>
        <LegalEntityRegisteredNameID>4798732</LegalEntityRegisteredNameID>
        <LegalEntityNameID>92351297</LegalEntityNameID>
        <RepresentatedNamesOfAssistant/>
        <LegalEntityTypeID>1</LegalEntityTypeID>
        <IsVerdictExists>false</IsVerdictExists>
        <IsAsirAzir>false</IsAsirAzir>
        <IsPublicationProhibited>false</IsPublicationProhibited>
        <PublicationProhibitedFullName>לודמילה שבס</PublicationProhibitedFullName>
      </CaseParties>
    </CasePartiesSelectionDS>
    <DecisionName>פסק דין  שניתנה ע"י  גלעד הס</DecisionName>
    <CourtDisplayName>בית המשפט המחוזי בתל אביב -יפו</CourtDisplayName>
    <IsCaseJudgePanel>false</IsCaseJudgePanel>
    <DecisionSignatureDate>2023-08-27T19:55:00.9436222+03:00</DecisionSignatureDate>
    <OpenCaseDate>2023-07-20T11:57:00+03:00</OpenCaseDate>
    <CaseFeeSum>0.000</CaseFeeSum>
    <DecisionTypeID>2</DecisionTypeID>
    <DecisionSignatureUserName>גלעד הס</DecisionSignatureUserName>
    <DecisionSignatureDateHebrew>2023-08-27T19:55:00.9436222+03:00</DecisionSignatureDateHebrew>
    <DecisionWriterID>024105041@GOV.IL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אביעד נ' שבס</CaseName>
    <DecisionNumberInCase>5</DecisionNumberInCase>
  </dt_Decision>
  <dt_DecisionCase>
    <DecisionID>0</DecisionID>
    <CaseID>80446642</CaseID>
    <CaseJudicialPersonPresentationDS>
      <CaseJudicalPersonActive>
        <CaseID>80446642</CaseID>
        <JudicialPersonID>024105041@GOV.IL</JudicialPersonID>
        <JudicialPersonTypeID>1</JudicialPersonTypeID>
        <JudicialTypeID>1</JudicialTypeID>
        <IsChairman>false</IsChairman>
        <TreatmentStartDate>2023-07-20T12:08:19.36+03:00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רמי רובין</FullName>
        <FirstName>רמי</FirstName>
        <LastName>רובין</LastName>
        <PartyPropertyName/>
        <AuthenticationTypeAndNumber>מ.ר. 14353</AuthenticationTypeAndNumber>
        <RepresentatedOrRepresentativesNames>לודמילה שבס</RepresentatedOrRepresentativesNames>
        <RepresentatedOrRepresentativesCount>1</RepresentatedOrRepresentativesCount>
        <InvitedBy/>
        <CaseID>80446642</CaseID>
        <CaseJudicialPersonPresentationDS>
          <CaseJudicalPersonActive>
            <CaseID>80446642</CaseID>
            <JudicialPersonID>024105041@GOV.IL</JudicialPersonID>
            <JudicialPersonTypeID>1</JudicialPersonTypeID>
            <JudicialTypeID>1</JudicialTypeID>
            <IsChairman>false</IsChairman>
            <TreatmentStartDate>2023-07-20T12:08:19.36+03:00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259398395</CasePartyID>
        <PartyTypeID>2</PartyTypeID>
        <ActivityStatusID>1</ActivityStatusID>
        <PartyAliasID>23</PartyAliasID>
        <PartyAliasName>בא כוח משיבים</PartyAliasName>
        <LegalEntityID>382260</LegalEntityID>
        <CaseLegalEntityID>125533642</CaseLegalEntityID>
        <AuthenticationTypeID>4</AuthenticationTypeID>
        <AuthenticationTypeName>מ.ר.</AuthenticationTypeName>
        <LegalEntityNumber>14353</LegalEntityNumber>
        <IsMainPartyType>true</IsMainPartyType>
        <CaseDisplayIdentifier>47564-07-23</CaseDisplayIdentifier>
        <CaseTypeID>10038</CaseTypeID>
        <CaseTypeName>ערעור על החלטת רשם (ע"ר)</CaseTypeName>
        <CaseName>אביעד נ' שבס</CaseName>
        <FullAddress>משה לוי 11 ראשון לציון בית I.M.U  קומה 6</FullAddress>
        <EmailAddress>rubinram@zahav.net.il</EmailAddress>
        <MotionID>0</MotionID>
        <CasePleaID>0</CasePleaID>
        <FatherName xml:space="preserve">        </FatherName>
        <LinkedCaseID>0</LinkedCaseID>
        <PartyID>2</PartyID>
        <CasePartyCategoryID>2</CasePartyCategoryID>
        <LegalEntityAddressID>71008963</LegalEntityAddressID>
        <LegalEntityEmailAddressID>67834032</LegalEntityEmailAddressID>
        <PleaTypeID>6</PleaTypeID>
        <LawyerOfficeName>משרד עו"ד: רמי רובין</LawyerOfficeName>
        <LawyerOfficeID>422904</LawyerOfficeID>
        <GroupPartyAlias/>
        <IsConverted>false</IsConverted>
        <LegalEntityNameID>3244</LegalEntityNameID>
        <RepresentatedNamesOfAssistant/>
        <LegalEntityTypeID>4</LegalEntityTypeID>
        <IsVerdictExists>false</IsVerdictExists>
        <IsAsirAzir>false</IsAsirAzir>
        <IsPublicationProhibited>false</IsPublicationProhibited>
        <PublicationProhibitedFullName>רמי רובין</PublicationProhibitedFullName>
      </CaseParties>
      <CaseParties>
        <PartyTypeName>צד</PartyTypeName>
        <ProceedingType>כתב טענות עיקרי</ProceedingType>
        <PleaName>הודעת ערעור</PleaName>
        <PartyBelonging>צד א'</PartyBelonging>
        <RoleName>מערער 1 - מערער</RoleName>
        <IsSubProceeding>FALSE</IsSubProceeding>
        <FullName>אמנון אביעד</FullName>
        <FirstName>אמנון</FirstName>
        <LastName>אביעד</LastName>
        <PartyPropertyName/>
        <AuthenticationTypeAndNumber>ת"ז 050640309</AuthenticationTypeAndNumber>
        <RepresentatedOrRepresentativesNames>ספיר בן אליהו</RepresentatedOrRepresentativesNames>
        <RepresentatedOrRepresentativesCount>1</RepresentatedOrRepresentativesCount>
        <InvitedBy/>
        <CaseID>80446642</CaseID>
        <CaseJudicialPersonPresentationDS>
          <CaseJudicalPersonActive>
            <CaseID>80446642</CaseID>
            <JudicialPersonID>024105041@GOV.IL</JudicialPersonID>
            <JudicialPersonTypeID>1</JudicialPersonTypeID>
            <JudicialTypeID>1</JudicialTypeID>
            <IsChairman>false</IsChairman>
            <TreatmentStartDate>2023-07-20T12:08:19.36+03:00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258628964</CasePartyID>
        <PartyTypeID>1</PartyTypeID>
        <ActivityStatusID>1</ActivityStatusID>
        <PartyAliasID>5</PartyAliasID>
        <PartyAliasName>מערער</PartyAliasName>
        <OrdinalNumber>1</OrdinalNumber>
        <LegalEntityID>519211</LegalEntityID>
        <CaseLegalEntityID>125253877</CaseLegalEntityID>
        <AuthenticationTypeID>1</AuthenticationTypeID>
        <AuthenticationTypeName>ת"ז</AuthenticationTypeName>
        <LegalEntityNumber>050640309</LegalEntityNumber>
        <IsMainPartyType>true</IsMainPartyType>
        <CaseDisplayIdentifier>47564-07-23</CaseDisplayIdentifier>
        <CaseTypeID>10038</CaseTypeID>
        <CaseTypeName>ערעור על החלטת רשם (ע"ר)</CaseTypeName>
        <CaseName>אביעד נ' שבס</CaseName>
        <FullAddress>התפוצות 20 רמת גן </FullAddress>
        <MotionID>0</MotionID>
        <CasePleaID>0</CasePleaID>
        <FatherName>יוסף</FatherName>
        <LinkedCaseID>0</LinkedCaseID>
        <PartyID>1</PartyID>
        <CasePartyCategoryID>2</CasePartyCategoryID>
        <LegalEntityAddressID>85917621</LegalEntityAddressID>
        <GrandfatherName/>
        <DrivingLicenseNumber>458406</DrivingLicenseNumber>
        <PleaTypeID>6</PleaTypeID>
        <GroupPartyAlias>מערערים</GroupPartyAlias>
        <IsConverted>false</IsConverted>
        <LegalEntityRegisteredNameID>335692</LegalEntityRegisteredNameID>
        <LegalEntityNameID>92351298</LegalEntityNameID>
        <RepresentatedNamesOfAssistant/>
        <LegalEntityTypeID>1</LegalEntityTypeID>
        <IsVerdictExists>false</IsVerdictExists>
        <IsAsirAzir>false</IsAsirAzir>
        <IsPublicationProhibited>false</IsPublicationProhibited>
        <PublicationProhibitedFullName>אמנון אביעד</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ספיר בן אליהו</FullName>
        <FirstName>ספיר</FirstName>
        <LastName>בן אליהו</LastName>
        <PartyPropertyName/>
        <AuthenticationTypeAndNumber>מ.ר. 88474</AuthenticationTypeAndNumber>
        <RepresentatedOrRepresentativesNames>אמנון אביעד</RepresentatedOrRepresentativesNames>
        <RepresentatedOrRepresentativesCount>1</RepresentatedOrRepresentativesCount>
        <InvitedBy/>
        <CaseID>80446642</CaseID>
        <CaseJudicialPersonPresentationDS>
          <CaseJudicalPersonActive>
            <CaseID>80446642</CaseID>
            <JudicialPersonID>024105041@GOV.IL</JudicialPersonID>
            <JudicialPersonTypeID>1</JudicialPersonTypeID>
            <JudicialTypeID>1</JudicialTypeID>
            <IsChairman>false</IsChairman>
            <TreatmentStartDate>2023-07-20T12:08:19.36+03:00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258628966</CasePartyID>
        <PartyTypeID>2</PartyTypeID>
        <ActivityStatusID>1</ActivityStatusID>
        <PartyAliasID>24</PartyAliasID>
        <PartyAliasName>בא כוח מערערים</PartyAliasName>
        <OrdinalNumber>1</OrdinalNumber>
        <LegalEntityID>79427748</LegalEntityID>
        <CaseLegalEntityID>125253879</CaseLegalEntityID>
        <AuthenticationTypeID>4</AuthenticationTypeID>
        <AuthenticationTypeName>מ.ר.</AuthenticationTypeName>
        <LegalEntityNumber>88474</LegalEntityNumber>
        <IsMainPartyType>true</IsMainPartyType>
        <CaseDisplayIdentifier>47564-07-23</CaseDisplayIdentifier>
        <CaseTypeID>10038</CaseTypeID>
        <CaseTypeName>ערעור על החלטת רשם (ע"ר)</CaseTypeName>
        <CaseName>אביעד נ' שבס</CaseName>
        <FullAddress>נסים אלוני 17 תל אביב -יפו </FullAddress>
        <MotionID>0</MotionID>
        <CasePleaID>0</CasePleaID>
        <LinkedCaseID>0</LinkedCaseID>
        <PartyID>1</PartyID>
        <CasePartyCategoryID>2</CasePartyCategoryID>
        <LegalEntityAddressID>84649753</LegalEntityAddressID>
        <PleaTypeID>6</PleaTypeID>
        <LawyerOfficeName>משרד עו"ד ספיר בן אליהו</LawyerOfficeName>
        <LawyerOfficeID>79427749</LawyerOfficeID>
        <GroupPartyAlias/>
        <IsConverted>false</IsConverted>
        <LegalEntityNameID>90647042</LegalEntityNameID>
        <RepresentatedNamesOfAssistant/>
        <LegalEntityTypeID>4</LegalEntityTypeID>
        <IsVerdictExists>false</IsVerdictExists>
        <IsAsirAzir>false</IsAsirAzir>
        <IsPublicationProhibited>false</IsPublicationProhibited>
        <PublicationProhibitedFullName>ספיר בן אליהו</PublicationProhibitedFullName>
      </CaseParties>
      <CaseParties>
        <PartyTypeName>צד</PartyTypeName>
        <ProceedingType>כתב טענות עיקרי</ProceedingType>
        <PleaName>הודעת ערעור</PleaName>
        <PartyBelonging>צד ב'</PartyBelonging>
        <RoleName>משיב 1 - משיב</RoleName>
        <IsSubProceeding>FALSE</IsSubProceeding>
        <FullName>לודמילה שבס</FullName>
        <FirstName>לודמילה</FirstName>
        <LastName>שבס</LastName>
        <PartyPropertyName/>
        <AuthenticationTypeAndNumber>ת"ז 310445408</AuthenticationTypeAndNumber>
        <RepresentatedOrRepresentativesNames>רמי רובין</RepresentatedOrRepresentativesNames>
        <RepresentatedOrRepresentativesCount>1</RepresentatedOrRepresentativesCount>
        <InvitedBy/>
        <CaseID>80446642</CaseID>
        <CaseJudicialPersonPresentationDS>
          <CaseJudicalPersonActive>
            <CaseID>80446642</CaseID>
            <JudicialPersonID>024105041@GOV.IL</JudicialPersonID>
            <JudicialPersonTypeID>1</JudicialPersonTypeID>
            <JudicialTypeID>1</JudicialTypeID>
            <IsChairman>false</IsChairman>
            <TreatmentStartDate>2023-07-20T12:08:19.36+03:00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258628965</CasePartyID>
        <PartyTypeID>1</PartyTypeID>
        <ActivityStatusID>1</ActivityStatusID>
        <PartyAliasID>4</PartyAliasID>
        <PartyAliasName>משיב</PartyAliasName>
        <OrdinalNumber>1</OrdinalNumber>
        <LegalEntityID>2118913</LegalEntityID>
        <CaseLegalEntityID>125253878</CaseLegalEntityID>
        <AuthenticationTypeID>1</AuthenticationTypeID>
        <AuthenticationTypeName>ת"ז</AuthenticationTypeName>
        <LegalEntityNumber>310445408</LegalEntityNumber>
        <IsMainPartyType>true</IsMainPartyType>
        <CaseDisplayIdentifier>47564-07-23</CaseDisplayIdentifier>
        <CaseTypeID>10038</CaseTypeID>
        <CaseTypeName>ערעור על החלטת רשם (ע"ר)</CaseTypeName>
        <CaseName>אביעד נ' שבס</CaseName>
        <FullAddress>התפוצות 20 רמת גן </FullAddress>
        <MotionID>0</MotionID>
        <CasePleaID>0</CasePleaID>
        <FatherName>דמיטרי</FatherName>
        <LinkedCaseID>0</LinkedCaseID>
        <PartyID>2</PartyID>
        <CasePartyCategoryID>2</CasePartyCategoryID>
        <LegalEntityAddressID>88001458</LegalEntityAddressID>
        <DrivingLicenseNumber>7084503</DrivingLicenseNumber>
        <PleaTypeID>6</PleaTypeID>
        <GroupPartyAlias>משיבים</GroupPartyAlias>
        <IsConverted>false</IsConverted>
        <LegalEntityRegisteredNameID>4798732</LegalEntityRegisteredNameID>
        <LegalEntityNameID>92351297</LegalEntityNameID>
        <RepresentatedNamesOfAssistant/>
        <LegalEntityTypeID>1</LegalEntityTypeID>
        <IsVerdictExists>false</IsVerdictExists>
        <IsAsirAzir>false</IsAsirAzir>
        <IsPublicationProhibited>false</IsPublicationProhibited>
        <PublicationProhibitedFullName>לודמילה שבס</PublicationProhibitedFullName>
      </CaseParties>
    </CasePartiesSelectionDS>
    <CaseName>אביעד נ' שבס</CaseName>
    <CaseDisplayIdentifier>47564-07-23</CaseDisplayIdentifier>
    <CaseInterestID>10023</CaseInterestID>
    <CaseTypeShortName>ע"ר</CaseTypeShortName>
  </dt_DecisionCase>
  <dt_DecisionJudgePanel>
    <JudgeID>024105041@GOV.IL</JudgeID>
    <DisplayName>גלעד הס</DisplayName>
    <RoleName>שופט</RoleName>
    <UserTitleName>שופט</UserTitleName>
  </dt_DecisionJudgePanel>
  <dt_LegalEntityDetails>
    <Fax>03-9617502</Fax>
    <Phone>03-9617500</Phone>
    <AddressDesc>בית I.M.U  קומה 6</AddressDesc>
    <PartyID>2</PartyID>
    <PartyTypeID>2</PartyTypeID>
    <DecisionID>0</DecisionID>
    <StreetName>משה לוי 11</StreetName>
    <ZipCode>75658</ZipCode>
    <CityName>ראשון לציון</CityName>
    <FullName>רמי רובין</FullName>
    <Email>rubinram@zahav.net.il</Email>
    <IsPublicationProhibited>false</IsPublicationProhibited>
  </dt_LegalEntityDetails>
  <dt_LegalEntityDetails>
    <PartyID>1</PartyID>
    <PartyTypeID>1</PartyTypeID>
    <DecisionID>0</DecisionID>
    <StreetName>התפוצות 20</StreetName>
    <CityName>רמת גן</CityName>
    <FullName> אמנון אביעד</FullName>
    <IsPublicationProhibited>false</IsPublicationProhibited>
  </dt_LegalEntityDetails>
  <dt_LegalEntityDetails>
    <PartyID>2</PartyID>
    <PartyTypeID>1</PartyTypeID>
    <DecisionID>0</DecisionID>
    <StreetName>התפוצות 20</StreetName>
    <CityName>רמת גן</CityName>
    <FullName>לודמילה שבס</FullName>
    <IsPublicationProhibited>false</IsPublicationProhibited>
  </dt_LegalEntityDetails>
  <dt_LegalEntityDetails>
    <Phone>054-6468996</Phone>
    <PartyID>1</PartyID>
    <PartyTypeID>2</PartyTypeID>
    <DecisionID>0</DecisionID>
    <StreetName>נסים אלוני 17</StreetName>
    <ZipCode>6195001</ZipCode>
    <CityName>תל אביב -יפו</CityName>
    <FullName>ספיר בן אליהו</FullName>
    <Email>sapirbeneliyahu@gmail.com</Email>
    <IsPublicationProhibited>false</IsPublicationProhibited>
  </dt_LegalEntityDetails>
  <dt_CaseJudicalPersonActive>
    <CaseJudicalPerson>שופט גלעד הס</CaseJudicalPerson>
  </dt_CaseJudicalPersonActive>
  <dt_Sitting>
    <PreviousMeetingDate>2023-08-27T10:00:00+03:00</PreviousMeetingDate>
    <PreviousSittingTypeID>5</PreviousSittingTypeID>
    <PreviousMeetingDisplayName>שופט גלעד הס</PreviousMeetingDisplayName>
    <PreviousMeetingRoleName>שופט</PreviousMeetingRoleName>
    <PreviousMeetingUserTitleName>שופט</PreviousMeetingUserTitleName>
    <PreviousMeetingUserUPN>024105041@GOV.IL</PreviousMeetingUserUPN>
  </dt_Sitting>
</DecisionTemplateDS>
</file>

<file path=customXml/itemProps1.xml><?xml version="1.0" encoding="utf-8"?>
<ds:datastoreItem xmlns:ds="http://schemas.openxmlformats.org/officeDocument/2006/customXml" ds:itemID="{03B75D63-9A3C-4CA6-BBC9-44E294E7685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6474</Words>
  <Characters>32375</Characters>
  <Application>Microsoft Office Word</Application>
  <DocSecurity>0</DocSecurity>
  <Lines>269</Lines>
  <Paragraphs>77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2023-09-05T06:48:00Z</cp:lastPrinted>
  <dcterms:created xsi:type="dcterms:W3CDTF">2023-09-11T06:26:00Z</dcterms:created>
  <dcterms:modified xsi:type="dcterms:W3CDTF">2023-09-11T06:26:00Z</dcterms:modified>
</cp:coreProperties>
</file>